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D1066D" w14:textId="77777777" w:rsidR="00636E70" w:rsidRPr="00D10A17" w:rsidRDefault="00636E70">
      <w:pPr>
        <w:pStyle w:val="Textoindependiente"/>
        <w:spacing w:before="165"/>
        <w:rPr>
          <w:rFonts w:ascii="Garamond" w:hAnsi="Garamond"/>
        </w:rPr>
      </w:pPr>
    </w:p>
    <w:p w14:paraId="73F05BAC" w14:textId="063013C8" w:rsidR="00636E70" w:rsidRPr="00D10A17" w:rsidRDefault="00800180">
      <w:pPr>
        <w:pStyle w:val="Ttulo1"/>
        <w:spacing w:line="232" w:lineRule="auto"/>
        <w:ind w:left="1790" w:right="1148" w:firstLine="114"/>
        <w:jc w:val="left"/>
        <w:rPr>
          <w:rFonts w:ascii="Garamond" w:hAnsi="Garamond"/>
        </w:rPr>
      </w:pPr>
      <w:r w:rsidRPr="00D10A17">
        <w:rPr>
          <w:rFonts w:ascii="Garamond" w:hAnsi="Garamond"/>
        </w:rPr>
        <w:t>RESPUESTA A LAS OBSERVACIONES PRESENTADAS AL PROCESO</w:t>
      </w:r>
      <w:r w:rsidRPr="00D10A17">
        <w:rPr>
          <w:rFonts w:ascii="Garamond" w:hAnsi="Garamond"/>
          <w:spacing w:val="-12"/>
        </w:rPr>
        <w:t xml:space="preserve"> </w:t>
      </w:r>
      <w:r w:rsidRPr="00D10A17">
        <w:rPr>
          <w:rFonts w:ascii="Garamond" w:hAnsi="Garamond"/>
        </w:rPr>
        <w:t>DE</w:t>
      </w:r>
      <w:r w:rsidRPr="00D10A17">
        <w:rPr>
          <w:rFonts w:ascii="Garamond" w:hAnsi="Garamond"/>
          <w:spacing w:val="-12"/>
        </w:rPr>
        <w:t xml:space="preserve"> </w:t>
      </w:r>
      <w:r w:rsidR="00E772BF" w:rsidRPr="00D10A17">
        <w:rPr>
          <w:rFonts w:ascii="Garamond" w:hAnsi="Garamond"/>
        </w:rPr>
        <w:t>CONCURSO DE MERITOS</w:t>
      </w:r>
      <w:r w:rsidRPr="00D10A17">
        <w:rPr>
          <w:rFonts w:ascii="Garamond" w:hAnsi="Garamond"/>
          <w:spacing w:val="-13"/>
        </w:rPr>
        <w:t xml:space="preserve"> </w:t>
      </w:r>
      <w:r w:rsidRPr="00D10A17">
        <w:rPr>
          <w:rFonts w:ascii="Garamond" w:hAnsi="Garamond"/>
        </w:rPr>
        <w:t>No.</w:t>
      </w:r>
      <w:r w:rsidRPr="00D10A17">
        <w:rPr>
          <w:rFonts w:ascii="Garamond" w:hAnsi="Garamond"/>
          <w:spacing w:val="-12"/>
        </w:rPr>
        <w:t xml:space="preserve"> </w:t>
      </w:r>
      <w:r w:rsidRPr="00D10A17">
        <w:rPr>
          <w:rFonts w:ascii="Garamond" w:hAnsi="Garamond"/>
        </w:rPr>
        <w:t>FDLF-</w:t>
      </w:r>
      <w:r w:rsidR="00E772BF" w:rsidRPr="00D10A17">
        <w:rPr>
          <w:rFonts w:ascii="Garamond" w:hAnsi="Garamond"/>
        </w:rPr>
        <w:t>CMA</w:t>
      </w:r>
      <w:r w:rsidRPr="00D10A17">
        <w:rPr>
          <w:rFonts w:ascii="Garamond" w:hAnsi="Garamond"/>
        </w:rPr>
        <w:t>-004-2025</w:t>
      </w:r>
    </w:p>
    <w:p w14:paraId="66F9D66F" w14:textId="77777777" w:rsidR="00636E70" w:rsidRPr="00D10A17" w:rsidRDefault="00636E70">
      <w:pPr>
        <w:pStyle w:val="Textoindependiente"/>
        <w:spacing w:before="243"/>
        <w:rPr>
          <w:rFonts w:ascii="Garamond" w:hAnsi="Garamond"/>
          <w:b/>
        </w:rPr>
      </w:pPr>
    </w:p>
    <w:p w14:paraId="4FD346D7" w14:textId="7D738498" w:rsidR="00636E70" w:rsidRPr="00D10A17" w:rsidRDefault="00800180" w:rsidP="00E772BF">
      <w:pPr>
        <w:spacing w:line="235" w:lineRule="auto"/>
        <w:ind w:right="354"/>
        <w:jc w:val="both"/>
        <w:rPr>
          <w:rFonts w:ascii="Garamond" w:hAnsi="Garamond"/>
        </w:rPr>
      </w:pPr>
      <w:r w:rsidRPr="00D10A17">
        <w:rPr>
          <w:rFonts w:ascii="Garamond" w:hAnsi="Garamond"/>
          <w:spacing w:val="-4"/>
        </w:rPr>
        <w:t>En</w:t>
      </w:r>
      <w:r w:rsidRPr="00D10A17">
        <w:rPr>
          <w:rFonts w:ascii="Garamond" w:hAnsi="Garamond"/>
          <w:spacing w:val="-10"/>
        </w:rPr>
        <w:t xml:space="preserve"> </w:t>
      </w:r>
      <w:r w:rsidRPr="00D10A17">
        <w:rPr>
          <w:rFonts w:ascii="Garamond" w:hAnsi="Garamond"/>
          <w:spacing w:val="-4"/>
        </w:rPr>
        <w:t>fecha</w:t>
      </w:r>
      <w:r w:rsidRPr="00D10A17">
        <w:rPr>
          <w:rFonts w:ascii="Garamond" w:hAnsi="Garamond"/>
          <w:spacing w:val="-10"/>
        </w:rPr>
        <w:t xml:space="preserve"> </w:t>
      </w:r>
      <w:r w:rsidRPr="00D10A17">
        <w:rPr>
          <w:rFonts w:ascii="Garamond" w:hAnsi="Garamond"/>
          <w:spacing w:val="-4"/>
        </w:rPr>
        <w:t>veintidós</w:t>
      </w:r>
      <w:r w:rsidRPr="00D10A17">
        <w:rPr>
          <w:rFonts w:ascii="Garamond" w:hAnsi="Garamond"/>
          <w:spacing w:val="-10"/>
        </w:rPr>
        <w:t xml:space="preserve"> </w:t>
      </w:r>
      <w:r w:rsidRPr="00D10A17">
        <w:rPr>
          <w:rFonts w:ascii="Garamond" w:hAnsi="Garamond"/>
          <w:spacing w:val="-4"/>
        </w:rPr>
        <w:t>(22)</w:t>
      </w:r>
      <w:r w:rsidRPr="00D10A17">
        <w:rPr>
          <w:rFonts w:ascii="Garamond" w:hAnsi="Garamond"/>
          <w:spacing w:val="-9"/>
        </w:rPr>
        <w:t xml:space="preserve"> </w:t>
      </w:r>
      <w:r w:rsidRPr="00D10A17">
        <w:rPr>
          <w:rFonts w:ascii="Garamond" w:hAnsi="Garamond"/>
          <w:spacing w:val="-4"/>
        </w:rPr>
        <w:t>del</w:t>
      </w:r>
      <w:r w:rsidRPr="00D10A17">
        <w:rPr>
          <w:rFonts w:ascii="Garamond" w:hAnsi="Garamond"/>
          <w:spacing w:val="-10"/>
        </w:rPr>
        <w:t xml:space="preserve"> </w:t>
      </w:r>
      <w:r w:rsidRPr="00D10A17">
        <w:rPr>
          <w:rFonts w:ascii="Garamond" w:hAnsi="Garamond"/>
          <w:spacing w:val="-4"/>
        </w:rPr>
        <w:t>mes</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diciembre</w:t>
      </w:r>
      <w:r w:rsidRPr="00D10A17">
        <w:rPr>
          <w:rFonts w:ascii="Garamond" w:hAnsi="Garamond"/>
          <w:spacing w:val="-9"/>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2025,</w:t>
      </w:r>
      <w:r w:rsidRPr="00D10A17">
        <w:rPr>
          <w:rFonts w:ascii="Garamond" w:hAnsi="Garamond"/>
          <w:spacing w:val="45"/>
        </w:rPr>
        <w:t xml:space="preserve"> </w:t>
      </w:r>
      <w:r w:rsidRPr="00D10A17">
        <w:rPr>
          <w:rFonts w:ascii="Garamond" w:hAnsi="Garamond"/>
          <w:spacing w:val="-4"/>
        </w:rPr>
        <w:t>El</w:t>
      </w:r>
      <w:r w:rsidRPr="00D10A17">
        <w:rPr>
          <w:rFonts w:ascii="Garamond" w:hAnsi="Garamond"/>
          <w:spacing w:val="-10"/>
        </w:rPr>
        <w:t xml:space="preserve"> </w:t>
      </w:r>
      <w:r w:rsidRPr="00D10A17">
        <w:rPr>
          <w:rFonts w:ascii="Garamond" w:hAnsi="Garamond"/>
          <w:spacing w:val="-4"/>
        </w:rPr>
        <w:t>Fondo</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Desarrollo</w:t>
      </w:r>
      <w:r w:rsidRPr="00D10A17">
        <w:rPr>
          <w:rFonts w:ascii="Garamond" w:hAnsi="Garamond"/>
          <w:spacing w:val="-9"/>
        </w:rPr>
        <w:t xml:space="preserve"> </w:t>
      </w:r>
      <w:r w:rsidRPr="00D10A17">
        <w:rPr>
          <w:rFonts w:ascii="Garamond" w:hAnsi="Garamond"/>
          <w:spacing w:val="-4"/>
        </w:rPr>
        <w:t>Local</w:t>
      </w:r>
      <w:r w:rsidRPr="00D10A17">
        <w:rPr>
          <w:rFonts w:ascii="Garamond" w:hAnsi="Garamond"/>
          <w:spacing w:val="-10"/>
        </w:rPr>
        <w:t xml:space="preserve"> </w:t>
      </w:r>
      <w:r w:rsidRPr="00D10A17">
        <w:rPr>
          <w:rFonts w:ascii="Garamond" w:hAnsi="Garamond"/>
          <w:spacing w:val="-4"/>
        </w:rPr>
        <w:t>de</w:t>
      </w:r>
      <w:r w:rsidRPr="00D10A17">
        <w:rPr>
          <w:rFonts w:ascii="Garamond" w:hAnsi="Garamond"/>
          <w:spacing w:val="-10"/>
        </w:rPr>
        <w:t xml:space="preserve"> </w:t>
      </w:r>
      <w:r w:rsidRPr="00D10A17">
        <w:rPr>
          <w:rFonts w:ascii="Garamond" w:hAnsi="Garamond"/>
          <w:spacing w:val="-4"/>
        </w:rPr>
        <w:t>Fontibón,</w:t>
      </w:r>
      <w:r w:rsidRPr="00D10A17">
        <w:rPr>
          <w:rFonts w:ascii="Garamond" w:hAnsi="Garamond"/>
          <w:spacing w:val="-10"/>
        </w:rPr>
        <w:t xml:space="preserve"> </w:t>
      </w:r>
      <w:r w:rsidRPr="00D10A17">
        <w:rPr>
          <w:rFonts w:ascii="Garamond" w:hAnsi="Garamond"/>
          <w:spacing w:val="-4"/>
        </w:rPr>
        <w:t>en</w:t>
      </w:r>
      <w:r w:rsidRPr="00D10A17">
        <w:rPr>
          <w:rFonts w:ascii="Garamond" w:hAnsi="Garamond"/>
          <w:spacing w:val="-9"/>
        </w:rPr>
        <w:t xml:space="preserve"> </w:t>
      </w:r>
      <w:r w:rsidRPr="00D10A17">
        <w:rPr>
          <w:rFonts w:ascii="Garamond" w:hAnsi="Garamond"/>
          <w:spacing w:val="-4"/>
        </w:rPr>
        <w:t xml:space="preserve">cumplimiento </w:t>
      </w:r>
      <w:r w:rsidRPr="00D10A17">
        <w:rPr>
          <w:rFonts w:ascii="Garamond" w:hAnsi="Garamond"/>
        </w:rPr>
        <w:t>de lo descrito en el cronograma del</w:t>
      </w:r>
      <w:r w:rsidRPr="00D10A17">
        <w:rPr>
          <w:rFonts w:ascii="Garamond" w:hAnsi="Garamond"/>
          <w:spacing w:val="40"/>
        </w:rPr>
        <w:t xml:space="preserve"> </w:t>
      </w:r>
      <w:r w:rsidRPr="00D10A17">
        <w:rPr>
          <w:rFonts w:ascii="Garamond" w:hAnsi="Garamond"/>
        </w:rPr>
        <w:t>proceso, procede a dar respuestas a las observaciones presentadas a la evaluación del proceso</w:t>
      </w:r>
      <w:r w:rsidRPr="00D10A17">
        <w:rPr>
          <w:rFonts w:ascii="Garamond" w:hAnsi="Garamond"/>
          <w:b/>
        </w:rPr>
        <w:t xml:space="preserve">, FDLF-CMA-004-2025 </w:t>
      </w:r>
      <w:r w:rsidRPr="00D10A17">
        <w:rPr>
          <w:rFonts w:ascii="Garamond" w:hAnsi="Garamond"/>
        </w:rPr>
        <w:t xml:space="preserve">que tiene por objeto: </w:t>
      </w:r>
      <w:r w:rsidRPr="00D10A17">
        <w:rPr>
          <w:rFonts w:ascii="Garamond" w:hAnsi="Garamond"/>
          <w:b/>
        </w:rPr>
        <w:t>“EJECUTAR LA INTERVENTORÍA, TÉCNICA, ADMINISTRATIVA, JURÍDICA, FINANCIERA, SOCIAL, AMBIENTAL Y DE SEGURIDAD Y SALUD EN EL</w:t>
      </w:r>
      <w:r w:rsidRPr="00D10A17">
        <w:rPr>
          <w:rFonts w:ascii="Garamond" w:hAnsi="Garamond"/>
          <w:b/>
        </w:rPr>
        <w:t xml:space="preserve"> TRABAJO AL CONTRATO" CUYO OBJETO ES: "CONTRATAR LA ADECUACIÓN, MANTENIMIENTO Y/O DOTACIÓN DEL MOBILIARIO DE PARQUES VECINALES Y DE PROXIMIDAD DE LA LOCALIDAD DE FONTIBÓN MEDIANTE</w:t>
      </w:r>
      <w:r w:rsidRPr="00D10A17">
        <w:rPr>
          <w:rFonts w:ascii="Garamond" w:hAnsi="Garamond"/>
          <w:b/>
          <w:spacing w:val="22"/>
        </w:rPr>
        <w:t xml:space="preserve"> </w:t>
      </w:r>
      <w:r w:rsidRPr="00D10A17">
        <w:rPr>
          <w:rFonts w:ascii="Garamond" w:hAnsi="Garamond"/>
          <w:b/>
        </w:rPr>
        <w:t>EL</w:t>
      </w:r>
      <w:r w:rsidRPr="00D10A17">
        <w:rPr>
          <w:rFonts w:ascii="Garamond" w:hAnsi="Garamond"/>
          <w:b/>
          <w:spacing w:val="23"/>
        </w:rPr>
        <w:t xml:space="preserve"> </w:t>
      </w:r>
      <w:r w:rsidRPr="00D10A17">
        <w:rPr>
          <w:rFonts w:ascii="Garamond" w:hAnsi="Garamond"/>
          <w:b/>
        </w:rPr>
        <w:t>SISTEMA</w:t>
      </w:r>
      <w:r w:rsidRPr="00D10A17">
        <w:rPr>
          <w:rFonts w:ascii="Garamond" w:hAnsi="Garamond"/>
          <w:b/>
          <w:spacing w:val="22"/>
        </w:rPr>
        <w:t xml:space="preserve"> </w:t>
      </w:r>
      <w:r w:rsidRPr="00D10A17">
        <w:rPr>
          <w:rFonts w:ascii="Garamond" w:hAnsi="Garamond"/>
          <w:b/>
        </w:rPr>
        <w:t>DE</w:t>
      </w:r>
      <w:r w:rsidRPr="00D10A17">
        <w:rPr>
          <w:rFonts w:ascii="Garamond" w:hAnsi="Garamond"/>
          <w:b/>
          <w:spacing w:val="23"/>
        </w:rPr>
        <w:t xml:space="preserve"> </w:t>
      </w:r>
      <w:r w:rsidRPr="00D10A17">
        <w:rPr>
          <w:rFonts w:ascii="Garamond" w:hAnsi="Garamond"/>
          <w:b/>
        </w:rPr>
        <w:t>PRECIOS</w:t>
      </w:r>
      <w:r w:rsidRPr="00D10A17">
        <w:rPr>
          <w:rFonts w:ascii="Garamond" w:hAnsi="Garamond"/>
          <w:b/>
          <w:spacing w:val="22"/>
        </w:rPr>
        <w:t xml:space="preserve"> </w:t>
      </w:r>
      <w:r w:rsidRPr="00D10A17">
        <w:rPr>
          <w:rFonts w:ascii="Garamond" w:hAnsi="Garamond"/>
          <w:b/>
        </w:rPr>
        <w:t>UNITARIOS,</w:t>
      </w:r>
      <w:r w:rsidRPr="00D10A17">
        <w:rPr>
          <w:rFonts w:ascii="Garamond" w:hAnsi="Garamond"/>
          <w:b/>
          <w:spacing w:val="23"/>
        </w:rPr>
        <w:t xml:space="preserve"> </w:t>
      </w:r>
      <w:r w:rsidRPr="00D10A17">
        <w:rPr>
          <w:rFonts w:ascii="Garamond" w:hAnsi="Garamond"/>
          <w:b/>
        </w:rPr>
        <w:t>A</w:t>
      </w:r>
      <w:r w:rsidRPr="00D10A17">
        <w:rPr>
          <w:rFonts w:ascii="Garamond" w:hAnsi="Garamond"/>
          <w:b/>
          <w:spacing w:val="22"/>
        </w:rPr>
        <w:t xml:space="preserve"> </w:t>
      </w:r>
      <w:r w:rsidRPr="00D10A17">
        <w:rPr>
          <w:rFonts w:ascii="Garamond" w:hAnsi="Garamond"/>
          <w:b/>
        </w:rPr>
        <w:t>MONTO</w:t>
      </w:r>
      <w:r w:rsidRPr="00D10A17">
        <w:rPr>
          <w:rFonts w:ascii="Garamond" w:hAnsi="Garamond"/>
          <w:b/>
          <w:spacing w:val="23"/>
        </w:rPr>
        <w:t xml:space="preserve"> </w:t>
      </w:r>
      <w:r w:rsidRPr="00D10A17">
        <w:rPr>
          <w:rFonts w:ascii="Garamond" w:hAnsi="Garamond"/>
          <w:b/>
        </w:rPr>
        <w:t>AGOTABLE,</w:t>
      </w:r>
      <w:r w:rsidRPr="00D10A17">
        <w:rPr>
          <w:rFonts w:ascii="Garamond" w:hAnsi="Garamond"/>
          <w:b/>
          <w:spacing w:val="22"/>
        </w:rPr>
        <w:t xml:space="preserve"> </w:t>
      </w:r>
      <w:r w:rsidRPr="00D10A17">
        <w:rPr>
          <w:rFonts w:ascii="Garamond" w:hAnsi="Garamond"/>
          <w:b/>
        </w:rPr>
        <w:t>SIN</w:t>
      </w:r>
      <w:r w:rsidRPr="00D10A17">
        <w:rPr>
          <w:rFonts w:ascii="Garamond" w:hAnsi="Garamond"/>
          <w:b/>
          <w:spacing w:val="23"/>
        </w:rPr>
        <w:t xml:space="preserve"> </w:t>
      </w:r>
      <w:r w:rsidRPr="00D10A17">
        <w:rPr>
          <w:rFonts w:ascii="Garamond" w:hAnsi="Garamond"/>
          <w:b/>
          <w:spacing w:val="-2"/>
        </w:rPr>
        <w:t>FORMULA</w:t>
      </w:r>
      <w:r w:rsidR="00E772BF" w:rsidRPr="00D10A17">
        <w:rPr>
          <w:rFonts w:ascii="Garamond" w:hAnsi="Garamond"/>
          <w:b/>
          <w:spacing w:val="-2"/>
        </w:rPr>
        <w:t xml:space="preserve"> </w:t>
      </w:r>
      <w:r w:rsidRPr="00D10A17">
        <w:rPr>
          <w:rFonts w:ascii="Garamond" w:hAnsi="Garamond"/>
          <w:b/>
        </w:rPr>
        <w:t xml:space="preserve">DE REAJUSTE, </w:t>
      </w:r>
      <w:r w:rsidRPr="00D10A17">
        <w:rPr>
          <w:rFonts w:ascii="Garamond" w:hAnsi="Garamond"/>
          <w:b/>
        </w:rPr>
        <w:t xml:space="preserve">EN BOGOTÁ D.C”. </w:t>
      </w:r>
      <w:r w:rsidRPr="00D10A17">
        <w:rPr>
          <w:rFonts w:ascii="Garamond" w:hAnsi="Garamond"/>
        </w:rPr>
        <w:t xml:space="preserve">En función de lo anterior, se hace mención de las observaciones e </w:t>
      </w:r>
      <w:r w:rsidRPr="00D10A17">
        <w:rPr>
          <w:rFonts w:ascii="Garamond" w:hAnsi="Garamond"/>
          <w:spacing w:val="-2"/>
        </w:rPr>
        <w:t>inquietudes</w:t>
      </w:r>
      <w:r w:rsidRPr="00D10A17">
        <w:rPr>
          <w:rFonts w:ascii="Garamond" w:hAnsi="Garamond"/>
          <w:spacing w:val="-7"/>
        </w:rPr>
        <w:t xml:space="preserve"> </w:t>
      </w:r>
      <w:r w:rsidRPr="00D10A17">
        <w:rPr>
          <w:rFonts w:ascii="Garamond" w:hAnsi="Garamond"/>
          <w:spacing w:val="-2"/>
        </w:rPr>
        <w:t>que</w:t>
      </w:r>
      <w:r w:rsidRPr="00D10A17">
        <w:rPr>
          <w:rFonts w:ascii="Garamond" w:hAnsi="Garamond"/>
          <w:spacing w:val="-7"/>
        </w:rPr>
        <w:t xml:space="preserve"> </w:t>
      </w:r>
      <w:r w:rsidRPr="00D10A17">
        <w:rPr>
          <w:rFonts w:ascii="Garamond" w:hAnsi="Garamond"/>
          <w:spacing w:val="-2"/>
        </w:rPr>
        <w:t>se</w:t>
      </w:r>
      <w:r w:rsidRPr="00D10A17">
        <w:rPr>
          <w:rFonts w:ascii="Garamond" w:hAnsi="Garamond"/>
          <w:spacing w:val="-7"/>
        </w:rPr>
        <w:t xml:space="preserve"> </w:t>
      </w:r>
      <w:r w:rsidRPr="00D10A17">
        <w:rPr>
          <w:rFonts w:ascii="Garamond" w:hAnsi="Garamond"/>
          <w:spacing w:val="-2"/>
        </w:rPr>
        <w:t>formulan</w:t>
      </w:r>
      <w:r w:rsidRPr="00D10A17">
        <w:rPr>
          <w:rFonts w:ascii="Garamond" w:hAnsi="Garamond"/>
          <w:spacing w:val="-7"/>
        </w:rPr>
        <w:t xml:space="preserve"> </w:t>
      </w:r>
      <w:r w:rsidRPr="00D10A17">
        <w:rPr>
          <w:rFonts w:ascii="Garamond" w:hAnsi="Garamond"/>
          <w:spacing w:val="-2"/>
        </w:rPr>
        <w:t>y,</w:t>
      </w:r>
      <w:r w:rsidRPr="00D10A17">
        <w:rPr>
          <w:rFonts w:ascii="Garamond" w:hAnsi="Garamond"/>
          <w:spacing w:val="-7"/>
        </w:rPr>
        <w:t xml:space="preserve"> </w:t>
      </w:r>
      <w:r w:rsidRPr="00D10A17">
        <w:rPr>
          <w:rFonts w:ascii="Garamond" w:hAnsi="Garamond"/>
          <w:spacing w:val="-2"/>
        </w:rPr>
        <w:t>seguidamente,</w:t>
      </w:r>
      <w:r w:rsidRPr="00D10A17">
        <w:rPr>
          <w:rFonts w:ascii="Garamond" w:hAnsi="Garamond"/>
          <w:spacing w:val="-7"/>
        </w:rPr>
        <w:t xml:space="preserve"> </w:t>
      </w:r>
      <w:r w:rsidRPr="00D10A17">
        <w:rPr>
          <w:rFonts w:ascii="Garamond" w:hAnsi="Garamond"/>
          <w:spacing w:val="-2"/>
        </w:rPr>
        <w:t>las</w:t>
      </w:r>
      <w:r w:rsidRPr="00D10A17">
        <w:rPr>
          <w:rFonts w:ascii="Garamond" w:hAnsi="Garamond"/>
          <w:spacing w:val="-7"/>
        </w:rPr>
        <w:t xml:space="preserve"> </w:t>
      </w:r>
      <w:r w:rsidRPr="00D10A17">
        <w:rPr>
          <w:rFonts w:ascii="Garamond" w:hAnsi="Garamond"/>
          <w:spacing w:val="-2"/>
        </w:rPr>
        <w:t>respectivas</w:t>
      </w:r>
      <w:r w:rsidRPr="00D10A17">
        <w:rPr>
          <w:rFonts w:ascii="Garamond" w:hAnsi="Garamond"/>
          <w:spacing w:val="-7"/>
        </w:rPr>
        <w:t xml:space="preserve"> </w:t>
      </w:r>
      <w:r w:rsidRPr="00D10A17">
        <w:rPr>
          <w:rFonts w:ascii="Garamond" w:hAnsi="Garamond"/>
          <w:spacing w:val="-2"/>
        </w:rPr>
        <w:t>respuestas</w:t>
      </w:r>
      <w:r w:rsidRPr="00D10A17">
        <w:rPr>
          <w:rFonts w:ascii="Garamond" w:hAnsi="Garamond"/>
          <w:spacing w:val="-7"/>
        </w:rPr>
        <w:t xml:space="preserve"> </w:t>
      </w:r>
      <w:r w:rsidRPr="00D10A17">
        <w:rPr>
          <w:rFonts w:ascii="Garamond" w:hAnsi="Garamond"/>
          <w:spacing w:val="-2"/>
        </w:rPr>
        <w:t>que</w:t>
      </w:r>
      <w:r w:rsidRPr="00D10A17">
        <w:rPr>
          <w:rFonts w:ascii="Garamond" w:hAnsi="Garamond"/>
          <w:spacing w:val="-7"/>
        </w:rPr>
        <w:t xml:space="preserve"> </w:t>
      </w:r>
      <w:r w:rsidRPr="00D10A17">
        <w:rPr>
          <w:rFonts w:ascii="Garamond" w:hAnsi="Garamond"/>
          <w:spacing w:val="-2"/>
        </w:rPr>
        <w:t>otorga</w:t>
      </w:r>
      <w:r w:rsidRPr="00D10A17">
        <w:rPr>
          <w:rFonts w:ascii="Garamond" w:hAnsi="Garamond"/>
          <w:spacing w:val="-7"/>
        </w:rPr>
        <w:t xml:space="preserve"> </w:t>
      </w:r>
      <w:r w:rsidRPr="00D10A17">
        <w:rPr>
          <w:rFonts w:ascii="Garamond" w:hAnsi="Garamond"/>
          <w:spacing w:val="-2"/>
        </w:rPr>
        <w:t>la</w:t>
      </w:r>
      <w:r w:rsidRPr="00D10A17">
        <w:rPr>
          <w:rFonts w:ascii="Garamond" w:hAnsi="Garamond"/>
          <w:spacing w:val="-7"/>
        </w:rPr>
        <w:t xml:space="preserve"> </w:t>
      </w:r>
      <w:r w:rsidRPr="00D10A17">
        <w:rPr>
          <w:rFonts w:ascii="Garamond" w:hAnsi="Garamond"/>
          <w:spacing w:val="-2"/>
        </w:rPr>
        <w:t>entidad.</w:t>
      </w:r>
    </w:p>
    <w:p w14:paraId="775173F4" w14:textId="77777777" w:rsidR="00636E70" w:rsidRPr="00D10A17" w:rsidRDefault="00636E70">
      <w:pPr>
        <w:pStyle w:val="Textoindependiente"/>
        <w:spacing w:before="230"/>
        <w:rPr>
          <w:rFonts w:ascii="Garamond" w:hAnsi="Garamond"/>
        </w:rPr>
      </w:pPr>
    </w:p>
    <w:p w14:paraId="0ADA4D48" w14:textId="425914EF" w:rsidR="00636E70" w:rsidRPr="00D10A17" w:rsidRDefault="00D10A17">
      <w:pPr>
        <w:pStyle w:val="Ttulo1"/>
        <w:rPr>
          <w:rFonts w:ascii="Garamond" w:hAnsi="Garamond"/>
        </w:rPr>
      </w:pPr>
      <w:r w:rsidRPr="00D10A17">
        <w:rPr>
          <w:rFonts w:ascii="Garamond" w:hAnsi="Garamond"/>
        </w:rPr>
        <w:t>OBSERVACIÓN 1 – C</w:t>
      </w:r>
      <w:r w:rsidRPr="00D10A17">
        <w:rPr>
          <w:rFonts w:ascii="Garamond" w:hAnsi="Garamond"/>
        </w:rPr>
        <w:t xml:space="preserve">ONSORCIO </w:t>
      </w:r>
      <w:proofErr w:type="spellStart"/>
      <w:r w:rsidRPr="00D10A17">
        <w:rPr>
          <w:rFonts w:ascii="Garamond" w:hAnsi="Garamond"/>
        </w:rPr>
        <w:t>INTERV</w:t>
      </w:r>
      <w:proofErr w:type="spellEnd"/>
      <w:r w:rsidRPr="00D10A17">
        <w:rPr>
          <w:rFonts w:ascii="Garamond" w:hAnsi="Garamond"/>
        </w:rPr>
        <w:t>-PARKS 004</w:t>
      </w:r>
    </w:p>
    <w:p w14:paraId="7AFA1A46" w14:textId="77777777" w:rsidR="002F02AE" w:rsidRDefault="002F02AE" w:rsidP="002F02AE">
      <w:pPr>
        <w:pStyle w:val="Ttulo1"/>
      </w:pPr>
    </w:p>
    <w:p w14:paraId="67CEFBB1" w14:textId="77777777" w:rsidR="002F02AE" w:rsidRDefault="002F02AE" w:rsidP="002F02AE">
      <w:pPr>
        <w:pStyle w:val="Textoindependiente"/>
        <w:rPr>
          <w:b/>
          <w:sz w:val="20"/>
        </w:rPr>
      </w:pPr>
    </w:p>
    <w:p w14:paraId="0A9AB6B5" w14:textId="77777777" w:rsidR="002F02AE" w:rsidRDefault="002F02AE" w:rsidP="002F02AE">
      <w:pPr>
        <w:pStyle w:val="Textoindependiente"/>
        <w:rPr>
          <w:b/>
          <w:sz w:val="20"/>
        </w:rPr>
      </w:pPr>
    </w:p>
    <w:p w14:paraId="6C5FE577" w14:textId="77777777" w:rsidR="002F02AE" w:rsidRDefault="002F02AE" w:rsidP="002F02AE">
      <w:pPr>
        <w:pStyle w:val="Textoindependiente"/>
        <w:rPr>
          <w:b/>
          <w:sz w:val="20"/>
        </w:rPr>
      </w:pPr>
    </w:p>
    <w:p w14:paraId="35F2EA69" w14:textId="77777777" w:rsidR="002F02AE" w:rsidRDefault="002F02AE" w:rsidP="002F02AE">
      <w:pPr>
        <w:pStyle w:val="Textoindependiente"/>
        <w:rPr>
          <w:b/>
          <w:sz w:val="20"/>
        </w:rPr>
      </w:pPr>
    </w:p>
    <w:p w14:paraId="43179270" w14:textId="77777777" w:rsidR="002F02AE" w:rsidRDefault="002F02AE" w:rsidP="002F02AE">
      <w:pPr>
        <w:pStyle w:val="Textoindependiente"/>
        <w:spacing w:before="72"/>
        <w:rPr>
          <w:b/>
          <w:sz w:val="20"/>
        </w:rPr>
      </w:pPr>
    </w:p>
    <w:p w14:paraId="7A59B9C9" w14:textId="77777777" w:rsidR="002F02AE" w:rsidRDefault="002F02AE" w:rsidP="002F02AE">
      <w:pPr>
        <w:pStyle w:val="Textoindependiente"/>
        <w:rPr>
          <w:b/>
          <w:sz w:val="20"/>
        </w:rPr>
        <w:sectPr w:rsidR="002F02AE">
          <w:headerReference w:type="default" r:id="rId6"/>
          <w:footerReference w:type="default" r:id="rId7"/>
          <w:type w:val="continuous"/>
          <w:pgSz w:w="12240" w:h="15840"/>
          <w:pgMar w:top="1320" w:right="1080" w:bottom="640" w:left="1080" w:header="115" w:footer="443" w:gutter="0"/>
          <w:pgNumType w:start="1"/>
          <w:cols w:space="720"/>
        </w:sectPr>
      </w:pPr>
      <w:r>
        <w:rPr>
          <w:b/>
          <w:noProof/>
          <w:sz w:val="20"/>
        </w:rPr>
        <w:drawing>
          <wp:inline distT="0" distB="0" distL="0" distR="0" wp14:anchorId="18570D47" wp14:editId="5EA51942">
            <wp:extent cx="6400800" cy="1928495"/>
            <wp:effectExtent l="0" t="0" r="0" b="1905"/>
            <wp:docPr id="1802191391" name="Imagen 5"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191391" name="Imagen 5" descr="Interfaz de usuario gráfica, Texto, Aplicación&#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6400800" cy="1928495"/>
                    </a:xfrm>
                    <a:prstGeom prst="rect">
                      <a:avLst/>
                    </a:prstGeom>
                  </pic:spPr>
                </pic:pic>
              </a:graphicData>
            </a:graphic>
          </wp:inline>
        </w:drawing>
      </w:r>
    </w:p>
    <w:p w14:paraId="5F3951D3" w14:textId="77777777" w:rsidR="002F02AE" w:rsidRDefault="002F02AE" w:rsidP="002F02AE">
      <w:pPr>
        <w:pStyle w:val="Textoindependiente"/>
        <w:rPr>
          <w:b/>
        </w:rPr>
      </w:pPr>
    </w:p>
    <w:p w14:paraId="3504E498" w14:textId="77777777" w:rsidR="002F02AE" w:rsidRDefault="002F02AE" w:rsidP="002F02AE">
      <w:pPr>
        <w:pStyle w:val="Textoindependiente"/>
        <w:rPr>
          <w:b/>
        </w:rPr>
      </w:pPr>
    </w:p>
    <w:p w14:paraId="17C26600" w14:textId="77777777" w:rsidR="002F02AE" w:rsidRDefault="002F02AE" w:rsidP="002F02AE">
      <w:pPr>
        <w:pStyle w:val="Textoindependiente"/>
        <w:rPr>
          <w:b/>
        </w:rPr>
      </w:pPr>
    </w:p>
    <w:p w14:paraId="17CFCC1E" w14:textId="77777777" w:rsidR="002F02AE" w:rsidRDefault="002F02AE" w:rsidP="002F02AE">
      <w:pPr>
        <w:pStyle w:val="Textoindependiente"/>
        <w:rPr>
          <w:b/>
        </w:rPr>
      </w:pPr>
    </w:p>
    <w:p w14:paraId="19D664A1" w14:textId="77777777" w:rsidR="002F02AE" w:rsidRDefault="002F02AE" w:rsidP="002F02AE">
      <w:pPr>
        <w:pStyle w:val="Textoindependiente"/>
        <w:rPr>
          <w:b/>
        </w:rPr>
      </w:pPr>
    </w:p>
    <w:p w14:paraId="50DF4423" w14:textId="77777777" w:rsidR="002F02AE" w:rsidRDefault="002F02AE" w:rsidP="002F02AE">
      <w:pPr>
        <w:pStyle w:val="Textoindependiente"/>
        <w:spacing w:before="195"/>
        <w:rPr>
          <w:b/>
        </w:rPr>
      </w:pPr>
    </w:p>
    <w:p w14:paraId="2045CFC7" w14:textId="77777777" w:rsidR="002F02AE" w:rsidRDefault="002F02AE" w:rsidP="002F02AE">
      <w:pPr>
        <w:jc w:val="both"/>
        <w:rPr>
          <w:b/>
        </w:rPr>
      </w:pPr>
      <w:r>
        <w:rPr>
          <w:b/>
        </w:rPr>
        <w:t>Respuesta</w:t>
      </w:r>
      <w:r>
        <w:rPr>
          <w:b/>
          <w:spacing w:val="-12"/>
        </w:rPr>
        <w:t xml:space="preserve"> </w:t>
      </w:r>
      <w:r>
        <w:rPr>
          <w:b/>
        </w:rPr>
        <w:t>por</w:t>
      </w:r>
      <w:r>
        <w:rPr>
          <w:b/>
          <w:spacing w:val="-12"/>
        </w:rPr>
        <w:t xml:space="preserve"> </w:t>
      </w:r>
      <w:r>
        <w:rPr>
          <w:b/>
        </w:rPr>
        <w:t>la</w:t>
      </w:r>
      <w:r>
        <w:rPr>
          <w:b/>
          <w:spacing w:val="-12"/>
        </w:rPr>
        <w:t xml:space="preserve"> </w:t>
      </w:r>
      <w:r>
        <w:rPr>
          <w:b/>
          <w:spacing w:val="-2"/>
        </w:rPr>
        <w:t>entidad:</w:t>
      </w:r>
    </w:p>
    <w:p w14:paraId="3140CFB3" w14:textId="77777777" w:rsidR="002F02AE" w:rsidRDefault="002F02AE" w:rsidP="002F02AE">
      <w:pPr>
        <w:pStyle w:val="Textoindependiente"/>
        <w:spacing w:before="252" w:line="232" w:lineRule="auto"/>
        <w:ind w:right="357"/>
        <w:jc w:val="both"/>
      </w:pPr>
      <w:r>
        <w:t>La</w:t>
      </w:r>
      <w:r>
        <w:rPr>
          <w:spacing w:val="-1"/>
        </w:rPr>
        <w:t xml:space="preserve"> </w:t>
      </w:r>
      <w:r>
        <w:t>entidad</w:t>
      </w:r>
      <w:r>
        <w:rPr>
          <w:spacing w:val="-1"/>
        </w:rPr>
        <w:t xml:space="preserve"> </w:t>
      </w:r>
      <w:r>
        <w:t>NO</w:t>
      </w:r>
      <w:r>
        <w:rPr>
          <w:spacing w:val="-2"/>
        </w:rPr>
        <w:t xml:space="preserve"> </w:t>
      </w:r>
      <w:r>
        <w:t>ACOGE</w:t>
      </w:r>
      <w:r>
        <w:rPr>
          <w:spacing w:val="-2"/>
        </w:rPr>
        <w:t xml:space="preserve"> </w:t>
      </w:r>
      <w:r>
        <w:t>la</w:t>
      </w:r>
      <w:r>
        <w:rPr>
          <w:spacing w:val="-2"/>
        </w:rPr>
        <w:t xml:space="preserve"> </w:t>
      </w:r>
      <w:r>
        <w:t>observación</w:t>
      </w:r>
      <w:r>
        <w:rPr>
          <w:spacing w:val="-1"/>
        </w:rPr>
        <w:t xml:space="preserve"> </w:t>
      </w:r>
      <w:r>
        <w:t>dado</w:t>
      </w:r>
      <w:r>
        <w:rPr>
          <w:spacing w:val="-2"/>
        </w:rPr>
        <w:t xml:space="preserve"> </w:t>
      </w:r>
      <w:r>
        <w:t>que</w:t>
      </w:r>
      <w:r>
        <w:rPr>
          <w:spacing w:val="-1"/>
        </w:rPr>
        <w:t xml:space="preserve"> </w:t>
      </w:r>
      <w:r>
        <w:t>el</w:t>
      </w:r>
      <w:r>
        <w:rPr>
          <w:spacing w:val="-1"/>
        </w:rPr>
        <w:t xml:space="preserve"> </w:t>
      </w:r>
      <w:r>
        <w:t>pliego</w:t>
      </w:r>
      <w:r>
        <w:rPr>
          <w:spacing w:val="-2"/>
        </w:rPr>
        <w:t xml:space="preserve"> </w:t>
      </w:r>
      <w:r>
        <w:t>de</w:t>
      </w:r>
      <w:r>
        <w:rPr>
          <w:spacing w:val="-1"/>
        </w:rPr>
        <w:t xml:space="preserve"> </w:t>
      </w:r>
      <w:r>
        <w:t>condiciones</w:t>
      </w:r>
      <w:r>
        <w:rPr>
          <w:spacing w:val="-1"/>
        </w:rPr>
        <w:t xml:space="preserve"> </w:t>
      </w:r>
      <w:r>
        <w:t>es</w:t>
      </w:r>
      <w:r>
        <w:rPr>
          <w:spacing w:val="-1"/>
        </w:rPr>
        <w:t xml:space="preserve"> </w:t>
      </w:r>
      <w:r>
        <w:t>muy</w:t>
      </w:r>
      <w:r>
        <w:rPr>
          <w:spacing w:val="-1"/>
        </w:rPr>
        <w:t xml:space="preserve"> </w:t>
      </w:r>
      <w:r>
        <w:t>claro</w:t>
      </w:r>
      <w:r>
        <w:rPr>
          <w:spacing w:val="-1"/>
        </w:rPr>
        <w:t xml:space="preserve"> </w:t>
      </w:r>
      <w:r>
        <w:t>en</w:t>
      </w:r>
      <w:r>
        <w:rPr>
          <w:spacing w:val="-2"/>
        </w:rPr>
        <w:t xml:space="preserve"> </w:t>
      </w:r>
      <w:r>
        <w:t>señalar</w:t>
      </w:r>
      <w:r>
        <w:rPr>
          <w:spacing w:val="-1"/>
        </w:rPr>
        <w:t xml:space="preserve"> </w:t>
      </w:r>
      <w:r>
        <w:t>que</w:t>
      </w:r>
      <w:r>
        <w:rPr>
          <w:spacing w:val="-2"/>
        </w:rPr>
        <w:t xml:space="preserve"> </w:t>
      </w:r>
      <w:r>
        <w:t>se</w:t>
      </w:r>
      <w:r>
        <w:rPr>
          <w:spacing w:val="-2"/>
        </w:rPr>
        <w:t xml:space="preserve"> </w:t>
      </w:r>
      <w:r>
        <w:t>debe anexar</w:t>
      </w:r>
      <w:r>
        <w:rPr>
          <w:spacing w:val="-12"/>
        </w:rPr>
        <w:t xml:space="preserve"> </w:t>
      </w:r>
      <w:r>
        <w:t>TODOS</w:t>
      </w:r>
      <w:r>
        <w:rPr>
          <w:spacing w:val="-12"/>
        </w:rPr>
        <w:t xml:space="preserve"> </w:t>
      </w:r>
      <w:r>
        <w:t>LOS</w:t>
      </w:r>
      <w:r>
        <w:rPr>
          <w:spacing w:val="-12"/>
        </w:rPr>
        <w:t xml:space="preserve"> </w:t>
      </w:r>
      <w:r>
        <w:t>AMPAROS</w:t>
      </w:r>
      <w:r>
        <w:rPr>
          <w:spacing w:val="-13"/>
        </w:rPr>
        <w:t xml:space="preserve"> </w:t>
      </w:r>
      <w:r>
        <w:t>que</w:t>
      </w:r>
      <w:r>
        <w:rPr>
          <w:spacing w:val="-12"/>
        </w:rPr>
        <w:t xml:space="preserve"> </w:t>
      </w:r>
      <w:r>
        <w:t>señala</w:t>
      </w:r>
      <w:r>
        <w:rPr>
          <w:spacing w:val="-12"/>
        </w:rPr>
        <w:t xml:space="preserve"> </w:t>
      </w:r>
      <w:r>
        <w:t>y</w:t>
      </w:r>
      <w:r>
        <w:rPr>
          <w:spacing w:val="-12"/>
        </w:rPr>
        <w:t xml:space="preserve"> </w:t>
      </w:r>
      <w:r>
        <w:t>describe</w:t>
      </w:r>
      <w:r>
        <w:rPr>
          <w:spacing w:val="-12"/>
        </w:rPr>
        <w:t xml:space="preserve"> </w:t>
      </w:r>
      <w:r>
        <w:t>artículo</w:t>
      </w:r>
      <w:r>
        <w:rPr>
          <w:spacing w:val="-12"/>
        </w:rPr>
        <w:t xml:space="preserve"> </w:t>
      </w:r>
      <w:r>
        <w:t>2.2.1.2.3.1.6</w:t>
      </w:r>
      <w:r>
        <w:rPr>
          <w:spacing w:val="-12"/>
        </w:rPr>
        <w:t xml:space="preserve"> </w:t>
      </w:r>
      <w:r>
        <w:t>del</w:t>
      </w:r>
      <w:r>
        <w:rPr>
          <w:spacing w:val="-12"/>
        </w:rPr>
        <w:t xml:space="preserve"> </w:t>
      </w:r>
      <w:r>
        <w:t>Decreto</w:t>
      </w:r>
      <w:r>
        <w:rPr>
          <w:spacing w:val="-12"/>
        </w:rPr>
        <w:t xml:space="preserve"> </w:t>
      </w:r>
      <w:r>
        <w:t>1082</w:t>
      </w:r>
      <w:r>
        <w:rPr>
          <w:spacing w:val="-12"/>
        </w:rPr>
        <w:t xml:space="preserve"> </w:t>
      </w:r>
      <w:r>
        <w:t>de</w:t>
      </w:r>
      <w:r>
        <w:rPr>
          <w:spacing w:val="-12"/>
        </w:rPr>
        <w:t xml:space="preserve"> </w:t>
      </w:r>
      <w:r>
        <w:t>2015,</w:t>
      </w:r>
      <w:r>
        <w:rPr>
          <w:spacing w:val="-12"/>
        </w:rPr>
        <w:t xml:space="preserve"> </w:t>
      </w:r>
      <w:r>
        <w:t>a</w:t>
      </w:r>
      <w:r>
        <w:rPr>
          <w:spacing w:val="-12"/>
        </w:rPr>
        <w:t xml:space="preserve"> </w:t>
      </w:r>
      <w:r>
        <w:t>la</w:t>
      </w:r>
      <w:r>
        <w:rPr>
          <w:spacing w:val="-12"/>
        </w:rPr>
        <w:t xml:space="preserve"> </w:t>
      </w:r>
      <w:r>
        <w:t xml:space="preserve">vez </w:t>
      </w:r>
      <w:r>
        <w:rPr>
          <w:spacing w:val="-4"/>
        </w:rPr>
        <w:t>dentro</w:t>
      </w:r>
      <w:r>
        <w:rPr>
          <w:spacing w:val="-7"/>
        </w:rPr>
        <w:t xml:space="preserve"> </w:t>
      </w:r>
      <w:r>
        <w:rPr>
          <w:spacing w:val="-4"/>
        </w:rPr>
        <w:t>de</w:t>
      </w:r>
      <w:r>
        <w:rPr>
          <w:spacing w:val="-7"/>
        </w:rPr>
        <w:t xml:space="preserve"> </w:t>
      </w:r>
      <w:r>
        <w:rPr>
          <w:spacing w:val="-4"/>
        </w:rPr>
        <w:t>la</w:t>
      </w:r>
      <w:r>
        <w:rPr>
          <w:spacing w:val="-7"/>
        </w:rPr>
        <w:t xml:space="preserve"> </w:t>
      </w:r>
      <w:r>
        <w:rPr>
          <w:spacing w:val="-4"/>
        </w:rPr>
        <w:t>etapa</w:t>
      </w:r>
      <w:r>
        <w:rPr>
          <w:spacing w:val="-7"/>
        </w:rPr>
        <w:t xml:space="preserve"> </w:t>
      </w:r>
      <w:r>
        <w:rPr>
          <w:spacing w:val="-4"/>
        </w:rPr>
        <w:t>de</w:t>
      </w:r>
      <w:r>
        <w:rPr>
          <w:spacing w:val="-7"/>
        </w:rPr>
        <w:t xml:space="preserve"> </w:t>
      </w:r>
      <w:r>
        <w:rPr>
          <w:spacing w:val="-4"/>
        </w:rPr>
        <w:t>traslado</w:t>
      </w:r>
      <w:r>
        <w:rPr>
          <w:spacing w:val="-7"/>
        </w:rPr>
        <w:t xml:space="preserve"> </w:t>
      </w:r>
      <w:r>
        <w:rPr>
          <w:spacing w:val="-4"/>
        </w:rPr>
        <w:t>se</w:t>
      </w:r>
      <w:r>
        <w:rPr>
          <w:spacing w:val="-7"/>
        </w:rPr>
        <w:t xml:space="preserve"> </w:t>
      </w:r>
      <w:r>
        <w:rPr>
          <w:spacing w:val="-4"/>
        </w:rPr>
        <w:t>le</w:t>
      </w:r>
      <w:r>
        <w:rPr>
          <w:spacing w:val="-7"/>
        </w:rPr>
        <w:t xml:space="preserve"> </w:t>
      </w:r>
      <w:r>
        <w:rPr>
          <w:spacing w:val="-4"/>
        </w:rPr>
        <w:t>dio</w:t>
      </w:r>
      <w:r>
        <w:rPr>
          <w:spacing w:val="-7"/>
        </w:rPr>
        <w:t xml:space="preserve"> </w:t>
      </w:r>
      <w:r>
        <w:rPr>
          <w:spacing w:val="-4"/>
        </w:rPr>
        <w:t>a</w:t>
      </w:r>
      <w:r>
        <w:rPr>
          <w:spacing w:val="-7"/>
        </w:rPr>
        <w:t xml:space="preserve"> </w:t>
      </w:r>
      <w:r>
        <w:rPr>
          <w:spacing w:val="-4"/>
        </w:rPr>
        <w:t>conocer</w:t>
      </w:r>
      <w:r>
        <w:rPr>
          <w:spacing w:val="-7"/>
        </w:rPr>
        <w:t xml:space="preserve"> </w:t>
      </w:r>
      <w:r>
        <w:rPr>
          <w:spacing w:val="-4"/>
        </w:rPr>
        <w:t>de</w:t>
      </w:r>
      <w:r>
        <w:rPr>
          <w:spacing w:val="-7"/>
        </w:rPr>
        <w:t xml:space="preserve"> </w:t>
      </w:r>
      <w:r>
        <w:rPr>
          <w:spacing w:val="-4"/>
        </w:rPr>
        <w:t>este</w:t>
      </w:r>
      <w:r>
        <w:rPr>
          <w:spacing w:val="-7"/>
        </w:rPr>
        <w:t xml:space="preserve"> </w:t>
      </w:r>
      <w:r>
        <w:rPr>
          <w:spacing w:val="-4"/>
        </w:rPr>
        <w:t>requerimiento</w:t>
      </w:r>
      <w:r>
        <w:rPr>
          <w:spacing w:val="-7"/>
        </w:rPr>
        <w:t xml:space="preserve"> </w:t>
      </w:r>
      <w:r>
        <w:rPr>
          <w:spacing w:val="-4"/>
        </w:rPr>
        <w:t>y</w:t>
      </w:r>
      <w:r>
        <w:rPr>
          <w:spacing w:val="-7"/>
        </w:rPr>
        <w:t xml:space="preserve"> </w:t>
      </w:r>
      <w:r>
        <w:rPr>
          <w:spacing w:val="-4"/>
        </w:rPr>
        <w:t>se envió</w:t>
      </w:r>
      <w:r>
        <w:rPr>
          <w:spacing w:val="-7"/>
        </w:rPr>
        <w:t xml:space="preserve"> </w:t>
      </w:r>
      <w:r>
        <w:rPr>
          <w:spacing w:val="-4"/>
        </w:rPr>
        <w:t>la</w:t>
      </w:r>
      <w:r>
        <w:rPr>
          <w:spacing w:val="-7"/>
        </w:rPr>
        <w:t xml:space="preserve"> </w:t>
      </w:r>
      <w:r>
        <w:rPr>
          <w:spacing w:val="-4"/>
        </w:rPr>
        <w:t>póliza</w:t>
      </w:r>
      <w:r>
        <w:rPr>
          <w:spacing w:val="-7"/>
        </w:rPr>
        <w:t xml:space="preserve"> </w:t>
      </w:r>
      <w:r>
        <w:rPr>
          <w:spacing w:val="-4"/>
        </w:rPr>
        <w:t>que</w:t>
      </w:r>
      <w:r>
        <w:rPr>
          <w:spacing w:val="-7"/>
        </w:rPr>
        <w:t xml:space="preserve"> </w:t>
      </w:r>
      <w:r>
        <w:rPr>
          <w:spacing w:val="-4"/>
        </w:rPr>
        <w:t>había</w:t>
      </w:r>
      <w:r>
        <w:rPr>
          <w:spacing w:val="-7"/>
        </w:rPr>
        <w:t xml:space="preserve"> </w:t>
      </w:r>
      <w:r>
        <w:rPr>
          <w:spacing w:val="-4"/>
        </w:rPr>
        <w:t>anexado</w:t>
      </w:r>
      <w:r>
        <w:rPr>
          <w:spacing w:val="-7"/>
        </w:rPr>
        <w:t xml:space="preserve"> </w:t>
      </w:r>
      <w:r>
        <w:rPr>
          <w:spacing w:val="-4"/>
        </w:rPr>
        <w:t xml:space="preserve">desde </w:t>
      </w:r>
      <w:r>
        <w:t>el principio.</w:t>
      </w:r>
    </w:p>
    <w:p w14:paraId="1E6CC7AB" w14:textId="77777777" w:rsidR="002F02AE" w:rsidRDefault="002F02AE" w:rsidP="002F02AE">
      <w:pPr>
        <w:pStyle w:val="Textoindependiente"/>
        <w:spacing w:before="31"/>
      </w:pPr>
    </w:p>
    <w:p w14:paraId="4E34A318" w14:textId="77777777" w:rsidR="002F02AE" w:rsidRDefault="002F02AE" w:rsidP="002F02AE">
      <w:pPr>
        <w:pStyle w:val="Textoindependiente"/>
        <w:spacing w:before="31"/>
      </w:pPr>
      <w:r>
        <w:t>Si bien, es cierto que se le desglosaron los anexos que debían ser parte de la subsanación en la anterior respuesta a su observación (de manera aclarativa para hacerle entender la respuesta a observación) , estos mismos nunca se realizaron.</w:t>
      </w:r>
    </w:p>
    <w:p w14:paraId="54619D7E" w14:textId="77777777" w:rsidR="002F02AE" w:rsidRDefault="002F02AE" w:rsidP="002F02AE">
      <w:pPr>
        <w:pStyle w:val="Textoindependiente"/>
      </w:pPr>
    </w:p>
    <w:p w14:paraId="3FE3D971" w14:textId="77777777" w:rsidR="002F02AE" w:rsidRDefault="002F02AE" w:rsidP="002F02AE">
      <w:pPr>
        <w:pStyle w:val="Textoindependiente"/>
        <w:rPr>
          <w:sz w:val="20"/>
        </w:rPr>
      </w:pPr>
      <w:r>
        <w:t>Le envió esta imagen para que pueda verificar (ejemplo) como debía ser allegada la misma, dado que se le hizo la solicitud en el término de traslado.</w:t>
      </w:r>
    </w:p>
    <w:p w14:paraId="2319A8C2" w14:textId="77777777" w:rsidR="002F02AE" w:rsidRDefault="002F02AE" w:rsidP="002F02AE">
      <w:pPr>
        <w:pStyle w:val="Textoindependiente"/>
        <w:rPr>
          <w:sz w:val="20"/>
        </w:rPr>
      </w:pPr>
    </w:p>
    <w:p w14:paraId="2A6BD2C0" w14:textId="77777777" w:rsidR="002F02AE" w:rsidRDefault="002F02AE" w:rsidP="002F02AE">
      <w:pPr>
        <w:pStyle w:val="Textoindependiente"/>
        <w:rPr>
          <w:sz w:val="20"/>
        </w:rPr>
      </w:pPr>
      <w:r>
        <w:rPr>
          <w:noProof/>
          <w:sz w:val="20"/>
        </w:rPr>
        <w:drawing>
          <wp:inline distT="0" distB="0" distL="0" distR="0" wp14:anchorId="7EC6E937" wp14:editId="2FEDE6EE">
            <wp:extent cx="6400800" cy="862965"/>
            <wp:effectExtent l="0" t="0" r="0" b="635"/>
            <wp:docPr id="6566974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697413" name="Imagen 656697413"/>
                    <pic:cNvPicPr/>
                  </pic:nvPicPr>
                  <pic:blipFill>
                    <a:blip r:embed="rId9">
                      <a:extLst>
                        <a:ext uri="{28A0092B-C50C-407E-A947-70E740481C1C}">
                          <a14:useLocalDpi xmlns:a14="http://schemas.microsoft.com/office/drawing/2010/main" val="0"/>
                        </a:ext>
                      </a:extLst>
                    </a:blip>
                    <a:stretch>
                      <a:fillRect/>
                    </a:stretch>
                  </pic:blipFill>
                  <pic:spPr>
                    <a:xfrm>
                      <a:off x="0" y="0"/>
                      <a:ext cx="6400800" cy="862965"/>
                    </a:xfrm>
                    <a:prstGeom prst="rect">
                      <a:avLst/>
                    </a:prstGeom>
                  </pic:spPr>
                </pic:pic>
              </a:graphicData>
            </a:graphic>
          </wp:inline>
        </w:drawing>
      </w:r>
    </w:p>
    <w:p w14:paraId="0580D30A" w14:textId="77777777" w:rsidR="002F02AE" w:rsidRDefault="002F02AE" w:rsidP="002F02AE">
      <w:pPr>
        <w:pStyle w:val="Textoindependiente"/>
        <w:rPr>
          <w:sz w:val="20"/>
        </w:rPr>
      </w:pPr>
    </w:p>
    <w:p w14:paraId="3A2CDE74" w14:textId="77777777" w:rsidR="002F02AE" w:rsidRDefault="002F02AE" w:rsidP="002F02AE">
      <w:pPr>
        <w:pStyle w:val="Textoindependiente"/>
        <w:rPr>
          <w:sz w:val="20"/>
        </w:rPr>
      </w:pPr>
    </w:p>
    <w:p w14:paraId="665EEE57" w14:textId="77777777" w:rsidR="002F02AE" w:rsidRDefault="002F02AE" w:rsidP="002F02AE">
      <w:pPr>
        <w:pStyle w:val="Textoindependiente"/>
        <w:rPr>
          <w:sz w:val="20"/>
        </w:rPr>
      </w:pPr>
      <w:r>
        <w:rPr>
          <w:sz w:val="20"/>
        </w:rPr>
        <w:t>La subsanación que usted allega es la siguiente:</w:t>
      </w:r>
    </w:p>
    <w:p w14:paraId="62EA7684" w14:textId="77777777" w:rsidR="002F02AE" w:rsidRDefault="002F02AE" w:rsidP="002F02AE">
      <w:pPr>
        <w:pStyle w:val="Textoindependiente"/>
        <w:rPr>
          <w:sz w:val="20"/>
        </w:rPr>
      </w:pPr>
    </w:p>
    <w:p w14:paraId="57D189E8" w14:textId="77777777" w:rsidR="002F02AE" w:rsidRDefault="002F02AE" w:rsidP="002F02AE">
      <w:pPr>
        <w:pStyle w:val="Textoindependiente"/>
        <w:rPr>
          <w:sz w:val="20"/>
        </w:rPr>
      </w:pPr>
    </w:p>
    <w:p w14:paraId="1CA46EF6" w14:textId="77777777" w:rsidR="002F02AE" w:rsidRDefault="002F02AE" w:rsidP="002F02AE">
      <w:pPr>
        <w:pStyle w:val="Textoindependiente"/>
        <w:rPr>
          <w:sz w:val="20"/>
        </w:rPr>
      </w:pPr>
    </w:p>
    <w:p w14:paraId="6B41997F" w14:textId="77777777" w:rsidR="002F02AE" w:rsidRDefault="002F02AE" w:rsidP="002F02AE">
      <w:pPr>
        <w:pStyle w:val="Textoindependiente"/>
        <w:rPr>
          <w:sz w:val="20"/>
        </w:rPr>
      </w:pPr>
    </w:p>
    <w:p w14:paraId="4EAA9DF0" w14:textId="77777777" w:rsidR="002F02AE" w:rsidRDefault="002F02AE" w:rsidP="002F02AE">
      <w:pPr>
        <w:pStyle w:val="Textoindependiente"/>
        <w:rPr>
          <w:sz w:val="20"/>
        </w:rPr>
      </w:pPr>
    </w:p>
    <w:p w14:paraId="0279E352" w14:textId="77777777" w:rsidR="002F02AE" w:rsidRDefault="002F02AE" w:rsidP="002F02AE">
      <w:pPr>
        <w:pStyle w:val="Textoindependiente"/>
        <w:spacing w:before="191"/>
        <w:rPr>
          <w:sz w:val="20"/>
        </w:rPr>
      </w:pPr>
    </w:p>
    <w:p w14:paraId="1912802E" w14:textId="77777777" w:rsidR="002F02AE" w:rsidRDefault="002F02AE" w:rsidP="002F02AE">
      <w:pPr>
        <w:pStyle w:val="Textoindependiente"/>
        <w:jc w:val="center"/>
        <w:rPr>
          <w:sz w:val="20"/>
        </w:rPr>
      </w:pPr>
      <w:r>
        <w:rPr>
          <w:noProof/>
          <w:sz w:val="20"/>
        </w:rPr>
        <w:lastRenderedPageBreak/>
        <w:drawing>
          <wp:inline distT="0" distB="0" distL="0" distR="0" wp14:anchorId="54C10D5B" wp14:editId="0D2A2E2F">
            <wp:extent cx="5534032" cy="5345723"/>
            <wp:effectExtent l="0" t="0" r="3175" b="1270"/>
            <wp:docPr id="113562590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625907" name="Imagen 113562590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88906" cy="5398730"/>
                    </a:xfrm>
                    <a:prstGeom prst="rect">
                      <a:avLst/>
                    </a:prstGeom>
                  </pic:spPr>
                </pic:pic>
              </a:graphicData>
            </a:graphic>
          </wp:inline>
        </w:drawing>
      </w:r>
    </w:p>
    <w:p w14:paraId="75CC31D0" w14:textId="77777777" w:rsidR="002F02AE" w:rsidRDefault="002F02AE" w:rsidP="002F02AE">
      <w:pPr>
        <w:pStyle w:val="Textoindependiente"/>
        <w:jc w:val="both"/>
        <w:rPr>
          <w:sz w:val="20"/>
        </w:rPr>
      </w:pPr>
    </w:p>
    <w:p w14:paraId="359FE5E2" w14:textId="77777777" w:rsidR="002F02AE" w:rsidRDefault="002F02AE" w:rsidP="002F02AE">
      <w:pPr>
        <w:pStyle w:val="Textoindependiente"/>
        <w:jc w:val="both"/>
        <w:rPr>
          <w:sz w:val="20"/>
        </w:rPr>
      </w:pPr>
    </w:p>
    <w:p w14:paraId="5242E98A" w14:textId="77777777" w:rsidR="002F02AE" w:rsidRDefault="002F02AE" w:rsidP="002F02AE">
      <w:pPr>
        <w:pStyle w:val="Textoindependiente"/>
        <w:jc w:val="both"/>
        <w:rPr>
          <w:sz w:val="20"/>
        </w:rPr>
      </w:pPr>
    </w:p>
    <w:p w14:paraId="6C063630" w14:textId="77777777" w:rsidR="002F02AE" w:rsidRDefault="002F02AE" w:rsidP="002F02AE">
      <w:pPr>
        <w:pStyle w:val="Textoindependiente"/>
        <w:spacing w:before="252" w:line="232" w:lineRule="auto"/>
        <w:ind w:right="357"/>
        <w:jc w:val="both"/>
      </w:pPr>
      <w:r w:rsidRPr="006720E1">
        <w:t xml:space="preserve">A la vez, </w:t>
      </w:r>
      <w:r>
        <w:t>y de conformidad con lo previsto en</w:t>
      </w:r>
      <w:r w:rsidRPr="006720E1">
        <w:t xml:space="preserve"> el pliego de condiciones, </w:t>
      </w:r>
      <w:r>
        <w:t xml:space="preserve">la garantía de seriedad de la oferta debía incluir de manera expresa el </w:t>
      </w:r>
      <w:r w:rsidRPr="006720E1">
        <w:t>amparo correspondiente a la sanción derivada del incumplimiento del ofrecimiento</w:t>
      </w:r>
      <w:r>
        <w:t xml:space="preserve">, en los términos señalados en el </w:t>
      </w:r>
      <w:r w:rsidRPr="006720E1">
        <w:t>artículo 2.2.1.2.3.1.6 del Decreto 1082 de 2015</w:t>
      </w:r>
      <w:r>
        <w:t>, o la norma que lo modifique, sustituya o complemente.</w:t>
      </w:r>
    </w:p>
    <w:p w14:paraId="4559AE39" w14:textId="77777777" w:rsidR="002F02AE" w:rsidRDefault="002F02AE" w:rsidP="002F02AE">
      <w:pPr>
        <w:pStyle w:val="Textoindependiente"/>
        <w:spacing w:before="252" w:line="232" w:lineRule="auto"/>
        <w:ind w:right="357"/>
        <w:jc w:val="both"/>
      </w:pPr>
      <w:r>
        <w:t xml:space="preserve">Al respecto, </w:t>
      </w:r>
      <w:r w:rsidRPr="006720E1">
        <w:t>en el presente proceso el pliego de condiciones sí estableció de manera expresa lo anteriormente descrito</w:t>
      </w:r>
      <w:r>
        <w:t>.</w:t>
      </w:r>
    </w:p>
    <w:p w14:paraId="1C7D9202" w14:textId="77777777" w:rsidR="002F02AE" w:rsidRPr="006720E1" w:rsidRDefault="002F02AE" w:rsidP="002F02AE">
      <w:pPr>
        <w:pStyle w:val="Textoindependiente"/>
        <w:spacing w:before="252" w:line="232" w:lineRule="auto"/>
        <w:ind w:right="357"/>
        <w:jc w:val="both"/>
        <w:sectPr w:rsidR="002F02AE" w:rsidRPr="006720E1">
          <w:pgSz w:w="12240" w:h="15840"/>
          <w:pgMar w:top="1320" w:right="1080" w:bottom="640" w:left="1080" w:header="115" w:footer="443" w:gutter="0"/>
          <w:cols w:space="720"/>
        </w:sectPr>
      </w:pPr>
      <w:r>
        <w:t xml:space="preserve">En ese sentido, la póliza presentada debía </w:t>
      </w:r>
      <w:r w:rsidRPr="006720E1">
        <w:t>pronunciarse de manera clara, expresa e inequívoca</w:t>
      </w:r>
      <w:r>
        <w:t xml:space="preserve"> sobre la cobertura del riesgo asociado a la </w:t>
      </w:r>
      <w:r w:rsidRPr="006720E1">
        <w:t>sanción por incumplimiento del ofrecimiento en los eventos previstos en el artículo 2.2.1.2.3.1.6 del Decreto 1082 de 2015</w:t>
      </w:r>
      <w:r>
        <w:t>, no siendo suficiente una referencia genérica a la “seriedad de la oferta” o una alusión amplia al Decreto 1082, cuando el pliego exigió un amparo concreto y determinado.</w:t>
      </w:r>
    </w:p>
    <w:p w14:paraId="09EDFBF7" w14:textId="3BD192CC" w:rsidR="00E772BF" w:rsidRPr="00D10A17" w:rsidRDefault="00E772BF">
      <w:pPr>
        <w:rPr>
          <w:rFonts w:ascii="Garamond" w:hAnsi="Garamond"/>
        </w:rPr>
      </w:pPr>
    </w:p>
    <w:p w14:paraId="689D0781" w14:textId="3D10AF79" w:rsidR="00E772BF" w:rsidRPr="00D10A17" w:rsidRDefault="00E772BF" w:rsidP="00E772BF">
      <w:pPr>
        <w:jc w:val="both"/>
        <w:rPr>
          <w:rFonts w:ascii="Garamond" w:hAnsi="Garamond"/>
          <w:b/>
          <w:bCs/>
        </w:rPr>
      </w:pPr>
      <w:r w:rsidRPr="00D10A17">
        <w:rPr>
          <w:rFonts w:ascii="Garamond" w:hAnsi="Garamond"/>
          <w:b/>
          <w:bCs/>
        </w:rPr>
        <w:t xml:space="preserve">OBSERVANTE </w:t>
      </w:r>
      <w:r w:rsidR="00D10A17" w:rsidRPr="00D10A17">
        <w:rPr>
          <w:rFonts w:ascii="Garamond" w:hAnsi="Garamond"/>
          <w:b/>
          <w:bCs/>
        </w:rPr>
        <w:t>2</w:t>
      </w:r>
      <w:r w:rsidRPr="00D10A17">
        <w:rPr>
          <w:rFonts w:ascii="Garamond" w:hAnsi="Garamond"/>
          <w:b/>
          <w:bCs/>
        </w:rPr>
        <w:t xml:space="preserve"> – </w:t>
      </w:r>
      <w:proofErr w:type="spellStart"/>
      <w:r w:rsidRPr="00D10A17">
        <w:rPr>
          <w:rFonts w:ascii="Garamond" w:hAnsi="Garamond"/>
          <w:b/>
          <w:bCs/>
        </w:rPr>
        <w:t>GEAGOR</w:t>
      </w:r>
      <w:proofErr w:type="spellEnd"/>
      <w:r w:rsidRPr="00D10A17">
        <w:rPr>
          <w:rFonts w:ascii="Garamond" w:hAnsi="Garamond"/>
          <w:b/>
          <w:bCs/>
        </w:rPr>
        <w:t xml:space="preserve"> SAS BIC</w:t>
      </w:r>
    </w:p>
    <w:p w14:paraId="6B35BCB2" w14:textId="77777777" w:rsidR="00E772BF" w:rsidRPr="00D10A17" w:rsidRDefault="00E772BF" w:rsidP="00E772BF">
      <w:pPr>
        <w:jc w:val="both"/>
        <w:rPr>
          <w:rFonts w:ascii="Garamond" w:hAnsi="Garamond"/>
          <w:b/>
          <w:bCs/>
        </w:rPr>
      </w:pPr>
    </w:p>
    <w:p w14:paraId="0794FAE5" w14:textId="77777777" w:rsidR="00E772BF" w:rsidRPr="00D10A17" w:rsidRDefault="00E772BF" w:rsidP="00E772BF">
      <w:pPr>
        <w:jc w:val="both"/>
        <w:rPr>
          <w:rFonts w:ascii="Garamond" w:hAnsi="Garamond"/>
          <w:b/>
          <w:bCs/>
        </w:rPr>
      </w:pPr>
      <w:r w:rsidRPr="00D10A17">
        <w:rPr>
          <w:rFonts w:ascii="Garamond" w:hAnsi="Garamond"/>
          <w:noProof/>
        </w:rPr>
        <w:drawing>
          <wp:inline distT="0" distB="0" distL="0" distR="0" wp14:anchorId="74A44876" wp14:editId="5D7CDAF7">
            <wp:extent cx="6051240" cy="3743325"/>
            <wp:effectExtent l="0" t="0" r="6985" b="0"/>
            <wp:docPr id="1712098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9825" name=""/>
                    <pic:cNvPicPr/>
                  </pic:nvPicPr>
                  <pic:blipFill rotWithShape="1">
                    <a:blip r:embed="rId11"/>
                    <a:srcRect l="8178" t="42520" r="58642" b="20995"/>
                    <a:stretch>
                      <a:fillRect/>
                    </a:stretch>
                  </pic:blipFill>
                  <pic:spPr bwMode="auto">
                    <a:xfrm>
                      <a:off x="0" y="0"/>
                      <a:ext cx="6071268" cy="3755714"/>
                    </a:xfrm>
                    <a:prstGeom prst="rect">
                      <a:avLst/>
                    </a:prstGeom>
                    <a:ln>
                      <a:noFill/>
                    </a:ln>
                    <a:extLst>
                      <a:ext uri="{53640926-AAD7-44D8-BBD7-CCE9431645EC}">
                        <a14:shadowObscured xmlns:a14="http://schemas.microsoft.com/office/drawing/2010/main"/>
                      </a:ext>
                    </a:extLst>
                  </pic:spPr>
                </pic:pic>
              </a:graphicData>
            </a:graphic>
          </wp:inline>
        </w:drawing>
      </w:r>
    </w:p>
    <w:p w14:paraId="57096DDA" w14:textId="77777777" w:rsidR="00E772BF" w:rsidRPr="00D10A17" w:rsidRDefault="00E772BF" w:rsidP="00E772BF">
      <w:pPr>
        <w:jc w:val="both"/>
        <w:rPr>
          <w:rFonts w:ascii="Garamond" w:hAnsi="Garamond"/>
          <w:b/>
          <w:bCs/>
        </w:rPr>
      </w:pPr>
    </w:p>
    <w:p w14:paraId="1FC8369D" w14:textId="77777777" w:rsidR="00E772BF" w:rsidRPr="00D10A17" w:rsidRDefault="00E772BF" w:rsidP="00E772BF">
      <w:pPr>
        <w:jc w:val="both"/>
        <w:rPr>
          <w:rFonts w:ascii="Garamond" w:hAnsi="Garamond"/>
          <w:b/>
          <w:bCs/>
        </w:rPr>
      </w:pPr>
      <w:r w:rsidRPr="00D10A17">
        <w:rPr>
          <w:rFonts w:ascii="Garamond" w:hAnsi="Garamond"/>
          <w:b/>
          <w:bCs/>
        </w:rPr>
        <w:t xml:space="preserve">Respuesta por la entidad: </w:t>
      </w:r>
    </w:p>
    <w:p w14:paraId="5EE3E685" w14:textId="77777777" w:rsidR="00E772BF" w:rsidRPr="00D10A17" w:rsidRDefault="00E772BF" w:rsidP="00E772BF">
      <w:pPr>
        <w:jc w:val="both"/>
        <w:rPr>
          <w:rStyle w:val="normaltextrun"/>
          <w:rFonts w:ascii="Garamond" w:hAnsi="Garamond" w:cs="Segoe UI"/>
        </w:rPr>
      </w:pPr>
    </w:p>
    <w:p w14:paraId="680F7313" w14:textId="77777777" w:rsidR="00E772BF" w:rsidRPr="00D10A17" w:rsidRDefault="00E772BF" w:rsidP="00E772BF">
      <w:pPr>
        <w:jc w:val="both"/>
        <w:rPr>
          <w:rFonts w:ascii="Garamond" w:hAnsi="Garamond" w:cs="Segoe UI"/>
        </w:rPr>
      </w:pPr>
      <w:r w:rsidRPr="00D10A17">
        <w:rPr>
          <w:rStyle w:val="normaltextrun"/>
          <w:rFonts w:ascii="Garamond" w:hAnsi="Garamond" w:cs="Segoe UI"/>
        </w:rPr>
        <w:t xml:space="preserve">Una vez analizada su observación, la entidad se permite precisar </w:t>
      </w:r>
      <w:r w:rsidRPr="00D10A17">
        <w:rPr>
          <w:rFonts w:ascii="Garamond" w:hAnsi="Garamond" w:cs="Segoe UI"/>
        </w:rPr>
        <w:t>y ampliar jurídicamente las razones por las cuales dicha observación resulta improcedente por extemporánea.</w:t>
      </w:r>
    </w:p>
    <w:p w14:paraId="33BE9C49" w14:textId="77777777" w:rsidR="00E772BF" w:rsidRPr="00D10A17" w:rsidRDefault="00E772BF" w:rsidP="00E772BF">
      <w:pPr>
        <w:jc w:val="both"/>
        <w:rPr>
          <w:rFonts w:ascii="Garamond" w:hAnsi="Garamond" w:cs="Segoe UI"/>
        </w:rPr>
      </w:pPr>
    </w:p>
    <w:p w14:paraId="327E6414" w14:textId="77777777" w:rsidR="00E772BF" w:rsidRPr="00D10A17" w:rsidRDefault="00E772BF" w:rsidP="00E772BF">
      <w:pPr>
        <w:jc w:val="both"/>
        <w:rPr>
          <w:rFonts w:ascii="Garamond" w:hAnsi="Garamond" w:cs="Segoe UI"/>
        </w:rPr>
      </w:pPr>
      <w:r w:rsidRPr="00D10A17">
        <w:rPr>
          <w:rFonts w:ascii="Garamond" w:hAnsi="Garamond" w:cs="Segoe UI"/>
        </w:rPr>
        <w:t>En relación con la comunicación presentada por la sociedad GEAGOR S.A.S. BIC, mediante la cual formula observaciones al informe de evaluación del proceso de contratación FDLF-CMA-004-2025, esta Entidad se permite informar que dicha solicitud resulta improcedente por extemporánea en concordancia con el artículo 2.2.1.2.1.3.2 del Decreto 1082 de 2015, razón por la cual no es viable efectuar un pronunciamiento de fondo.</w:t>
      </w:r>
    </w:p>
    <w:p w14:paraId="35D218A6" w14:textId="77777777" w:rsidR="00E772BF" w:rsidRPr="00D10A17" w:rsidRDefault="00E772BF" w:rsidP="00E772BF">
      <w:pPr>
        <w:jc w:val="both"/>
        <w:rPr>
          <w:rFonts w:ascii="Garamond" w:hAnsi="Garamond" w:cs="Segoe UI"/>
        </w:rPr>
      </w:pPr>
    </w:p>
    <w:p w14:paraId="580879C9" w14:textId="77777777" w:rsidR="00E772BF" w:rsidRPr="00D10A17" w:rsidRDefault="00E772BF" w:rsidP="00E772BF">
      <w:pPr>
        <w:jc w:val="both"/>
        <w:rPr>
          <w:rFonts w:ascii="Garamond" w:hAnsi="Garamond" w:cs="Segoe UI"/>
        </w:rPr>
      </w:pPr>
      <w:r w:rsidRPr="00D10A17">
        <w:rPr>
          <w:rFonts w:ascii="Garamond" w:hAnsi="Garamond" w:cs="Segoe UI"/>
        </w:rPr>
        <w:t>Al respecto, es preciso señalar que el proceso de selección se encuentra regido por un cronograma preclusivo, el cual establece de manera clara, expresa y obligatoria las etapas destinadas para la presentación de observaciones a los documentos del proceso y a los informes de evaluación. En el presente caso, las observaciones remitidas por el proponente fueron radicadas con posterioridad al cierre de la etapa habilitada para formular observaciones al informe definitivo, circunstancia que impide jurídicamente su análisis.</w:t>
      </w:r>
    </w:p>
    <w:p w14:paraId="5834F9EC" w14:textId="77777777" w:rsidR="00E772BF" w:rsidRPr="00D10A17" w:rsidRDefault="00E772BF" w:rsidP="00E772BF">
      <w:pPr>
        <w:jc w:val="both"/>
        <w:rPr>
          <w:rFonts w:ascii="Garamond" w:hAnsi="Garamond" w:cs="Segoe UI"/>
        </w:rPr>
      </w:pPr>
    </w:p>
    <w:p w14:paraId="0364ADC7" w14:textId="77777777" w:rsidR="00E772BF" w:rsidRPr="00D10A17" w:rsidRDefault="00E772BF" w:rsidP="00E772BF">
      <w:pPr>
        <w:jc w:val="both"/>
        <w:rPr>
          <w:rFonts w:ascii="Garamond" w:hAnsi="Garamond" w:cs="Segoe UI"/>
        </w:rPr>
      </w:pPr>
      <w:r w:rsidRPr="00D10A17">
        <w:rPr>
          <w:rFonts w:ascii="Garamond" w:hAnsi="Garamond" w:cs="Segoe UI"/>
        </w:rPr>
        <w:t>La anterior conclusión se fundamenta en el principio de preclusión, conforme al cual cada etapa del proceso contractual se agota una vez vencido el término previsto para su ejercicio, sin que sea jurídicamente viable reabrirla. Este principio encuentra respaldo en los artículos 24 y 25 de la Ley 80 de 1993, así como en la Ley 1150 de 2007, normas que imponen a las entidades el deber de adelantar procesos de selección objetivos, reglados, transparentes y previsibles.</w:t>
      </w:r>
    </w:p>
    <w:p w14:paraId="486B5301" w14:textId="77777777" w:rsidR="00E772BF" w:rsidRPr="00D10A17" w:rsidRDefault="00E772BF" w:rsidP="00E772BF">
      <w:pPr>
        <w:jc w:val="both"/>
        <w:rPr>
          <w:rFonts w:ascii="Garamond" w:hAnsi="Garamond" w:cs="Segoe UI"/>
        </w:rPr>
      </w:pPr>
    </w:p>
    <w:p w14:paraId="585C318B" w14:textId="77777777" w:rsidR="00E772BF" w:rsidRPr="00D10A17" w:rsidRDefault="00E772BF" w:rsidP="00E772BF">
      <w:pPr>
        <w:jc w:val="both"/>
        <w:rPr>
          <w:rFonts w:ascii="Garamond" w:hAnsi="Garamond" w:cs="Segoe UI"/>
        </w:rPr>
      </w:pPr>
      <w:r w:rsidRPr="00D10A17">
        <w:rPr>
          <w:rFonts w:ascii="Garamond" w:hAnsi="Garamond" w:cs="Segoe UI"/>
        </w:rPr>
        <w:t xml:space="preserve">Adicionalmente, acceder a la solicitud presentada implicaría desconocer el principio de igualdad entre proponentes, en tanto supondría otorgar a un oferente la posibilidad de controvertir la evaluación por fuera de los plazos establecidos, </w:t>
      </w:r>
      <w:r w:rsidRPr="00D10A17">
        <w:rPr>
          <w:rFonts w:ascii="Garamond" w:hAnsi="Garamond" w:cs="Segoe UI"/>
        </w:rPr>
        <w:lastRenderedPageBreak/>
        <w:t>en detrimento de los demás participantes que se sometieron estrictamente a las reglas temporales del proceso. La jurisprudencia del Consejo de Estado ha sido reiterada en señalar que la modificación o revisión de evaluaciones fuera de las oportunidades procesales legalmente previstas vulnera el debido proceso administrativo y compromete la validez del procedimiento de selección.</w:t>
      </w:r>
    </w:p>
    <w:p w14:paraId="63E575B7" w14:textId="77777777" w:rsidR="00E772BF" w:rsidRPr="00D10A17" w:rsidRDefault="00E772BF" w:rsidP="00E772BF">
      <w:pPr>
        <w:jc w:val="both"/>
        <w:rPr>
          <w:rFonts w:ascii="Garamond" w:hAnsi="Garamond" w:cs="Segoe UI"/>
        </w:rPr>
      </w:pPr>
    </w:p>
    <w:p w14:paraId="74E1CD9C" w14:textId="77777777" w:rsidR="00E772BF" w:rsidRPr="00D10A17" w:rsidRDefault="00E772BF" w:rsidP="00E772BF">
      <w:pPr>
        <w:jc w:val="both"/>
        <w:rPr>
          <w:rFonts w:ascii="Garamond" w:hAnsi="Garamond" w:cs="Segoe UI"/>
        </w:rPr>
      </w:pPr>
      <w:r w:rsidRPr="00D10A17">
        <w:rPr>
          <w:rFonts w:ascii="Garamond" w:hAnsi="Garamond" w:cs="Segoe UI"/>
        </w:rPr>
        <w:t>De igual manera, se precisa que la observación formulada por GEAGOR S.A.S. BIC no corresponde a una solicitud de mera aclaración formal, sino que pretende una revisión sustancial de un factor de evaluación puntuable, como lo es el apoyo a la industria nacional, lo cual resulta jurídicamente inadmisible una vez consolidado el informe definitivo de evaluación y agotada la etapa correspondiente.</w:t>
      </w:r>
    </w:p>
    <w:p w14:paraId="1599DB9A" w14:textId="77777777" w:rsidR="00E772BF" w:rsidRPr="00D10A17" w:rsidRDefault="00E772BF" w:rsidP="00E772BF">
      <w:pPr>
        <w:jc w:val="both"/>
        <w:rPr>
          <w:rFonts w:ascii="Garamond" w:hAnsi="Garamond" w:cs="Segoe UI"/>
        </w:rPr>
      </w:pPr>
    </w:p>
    <w:p w14:paraId="4A8A5539" w14:textId="77777777" w:rsidR="00E772BF" w:rsidRPr="00D10A17" w:rsidRDefault="00E772BF" w:rsidP="00E772BF">
      <w:pPr>
        <w:jc w:val="both"/>
        <w:rPr>
          <w:rFonts w:ascii="Garamond" w:hAnsi="Garamond" w:cs="Segoe UI"/>
        </w:rPr>
      </w:pPr>
      <w:r w:rsidRPr="00D10A17">
        <w:rPr>
          <w:rFonts w:ascii="Garamond" w:hAnsi="Garamond" w:cs="Segoe UI"/>
        </w:rPr>
        <w:t>En consecuencia, la Entidad carece de competencia temporal para reexaminar el contenido del Formato 7 presentado por el oferente Consorcio ST5 o modificar el puntaje asignado, razón por la cual la observación presentada se declara no procedente por extemporánea, manteniéndose incólume el resultado de la evaluación efectuada conforme a las reglas del pliego de condiciones y la documentación presentada oportunamente.</w:t>
      </w:r>
    </w:p>
    <w:p w14:paraId="37F440FA" w14:textId="77777777" w:rsidR="00E772BF" w:rsidRPr="00D10A17" w:rsidRDefault="00E772BF" w:rsidP="00E772BF">
      <w:pPr>
        <w:jc w:val="both"/>
        <w:rPr>
          <w:rFonts w:ascii="Garamond" w:hAnsi="Garamond" w:cs="Segoe UI"/>
        </w:rPr>
      </w:pPr>
    </w:p>
    <w:p w14:paraId="306D856C" w14:textId="77777777" w:rsidR="00E772BF" w:rsidRPr="00D10A17" w:rsidRDefault="00E772BF" w:rsidP="00E772BF">
      <w:pPr>
        <w:jc w:val="both"/>
        <w:rPr>
          <w:rFonts w:ascii="Garamond" w:hAnsi="Garamond" w:cs="Segoe UI"/>
        </w:rPr>
      </w:pPr>
      <w:r w:rsidRPr="00D10A17">
        <w:rPr>
          <w:rFonts w:ascii="Garamond" w:hAnsi="Garamond" w:cs="Segoe UI"/>
        </w:rPr>
        <w:t>Esta determinación se adopta en estricto cumplimiento de los principios de legalidad, transparencia, igualdad, seguridad jurídica y confianza legítima que rigen la contratación estatal.</w:t>
      </w:r>
    </w:p>
    <w:p w14:paraId="75E4B15C" w14:textId="77777777" w:rsidR="00B70E2B" w:rsidRPr="00D10A17" w:rsidRDefault="00B70E2B" w:rsidP="00E772BF">
      <w:pPr>
        <w:jc w:val="both"/>
        <w:rPr>
          <w:rFonts w:ascii="Garamond" w:hAnsi="Garamond" w:cs="Segoe UI"/>
        </w:rPr>
      </w:pPr>
    </w:p>
    <w:p w14:paraId="64B3C788" w14:textId="33BF084F" w:rsidR="006215B1" w:rsidRPr="00D10A17" w:rsidRDefault="006215B1" w:rsidP="006215B1">
      <w:pPr>
        <w:jc w:val="both"/>
        <w:rPr>
          <w:rFonts w:ascii="Garamond" w:hAnsi="Garamond"/>
          <w:b/>
          <w:bCs/>
        </w:rPr>
      </w:pPr>
      <w:r w:rsidRPr="00D10A17">
        <w:rPr>
          <w:rFonts w:ascii="Garamond" w:hAnsi="Garamond"/>
          <w:b/>
          <w:bCs/>
        </w:rPr>
        <w:t xml:space="preserve">OBSERVANTE </w:t>
      </w:r>
      <w:r w:rsidR="00D10A17" w:rsidRPr="00D10A17">
        <w:rPr>
          <w:rFonts w:ascii="Garamond" w:hAnsi="Garamond"/>
          <w:b/>
          <w:bCs/>
        </w:rPr>
        <w:t>3</w:t>
      </w:r>
      <w:r w:rsidRPr="00D10A17">
        <w:rPr>
          <w:rFonts w:ascii="Garamond" w:hAnsi="Garamond"/>
          <w:b/>
          <w:bCs/>
        </w:rPr>
        <w:t xml:space="preserve"> – </w:t>
      </w:r>
      <w:r w:rsidRPr="00D10A17">
        <w:rPr>
          <w:rFonts w:ascii="Garamond" w:hAnsi="Garamond"/>
          <w:b/>
          <w:bCs/>
        </w:rPr>
        <w:t>CONSORCIO ESPACIO VERDE</w:t>
      </w:r>
    </w:p>
    <w:p w14:paraId="1100E28C" w14:textId="69FFC82F" w:rsidR="006215B1" w:rsidRPr="00D10A17" w:rsidRDefault="006215B1" w:rsidP="006215B1">
      <w:pPr>
        <w:jc w:val="both"/>
        <w:rPr>
          <w:rFonts w:ascii="Garamond" w:hAnsi="Garamond"/>
          <w:b/>
          <w:bCs/>
        </w:rPr>
      </w:pPr>
    </w:p>
    <w:p w14:paraId="14AF9D2D" w14:textId="13226B8D" w:rsidR="006215B1" w:rsidRPr="00D10A17" w:rsidRDefault="006215B1" w:rsidP="006215B1">
      <w:pPr>
        <w:jc w:val="both"/>
        <w:rPr>
          <w:rFonts w:ascii="Garamond" w:hAnsi="Garamond"/>
          <w:b/>
          <w:bCs/>
          <w:i/>
          <w:iCs/>
        </w:rPr>
      </w:pPr>
      <w:r w:rsidRPr="00D10A17">
        <w:rPr>
          <w:rFonts w:ascii="Garamond" w:hAnsi="Garamond"/>
          <w:i/>
          <w:iCs/>
        </w:rPr>
        <w:t xml:space="preserve">Yo CARLOS MARIO </w:t>
      </w:r>
      <w:proofErr w:type="spellStart"/>
      <w:r w:rsidRPr="00D10A17">
        <w:rPr>
          <w:rFonts w:ascii="Garamond" w:hAnsi="Garamond"/>
          <w:i/>
          <w:iCs/>
        </w:rPr>
        <w:t>ROLON</w:t>
      </w:r>
      <w:proofErr w:type="spellEnd"/>
      <w:r w:rsidRPr="00D10A17">
        <w:rPr>
          <w:rFonts w:ascii="Garamond" w:hAnsi="Garamond"/>
          <w:i/>
          <w:iCs/>
        </w:rPr>
        <w:t xml:space="preserve"> AMAYA en mi calidad de representante legal de CONSORCIO ESPACIO VERDE me permito efectuar observaciones al informe de evaluación 2 en los siguientes términos: De conformidad con lo establecido en los pliegos de condiciones y en atención a los principios de transparencia, selección objetiva e igualdad de los oferentes, se observa que la experiencia acreditada por el proponente 16. </w:t>
      </w:r>
      <w:proofErr w:type="spellStart"/>
      <w:r w:rsidRPr="00D10A17">
        <w:rPr>
          <w:rFonts w:ascii="Garamond" w:hAnsi="Garamond"/>
          <w:i/>
          <w:iCs/>
        </w:rPr>
        <w:t>ABDO</w:t>
      </w:r>
      <w:proofErr w:type="spellEnd"/>
      <w:r w:rsidRPr="00D10A17">
        <w:rPr>
          <w:rFonts w:ascii="Garamond" w:hAnsi="Garamond"/>
          <w:i/>
          <w:iCs/>
        </w:rPr>
        <w:t xml:space="preserve"> </w:t>
      </w:r>
      <w:proofErr w:type="spellStart"/>
      <w:r w:rsidRPr="00D10A17">
        <w:rPr>
          <w:rFonts w:ascii="Garamond" w:hAnsi="Garamond"/>
          <w:i/>
          <w:iCs/>
        </w:rPr>
        <w:t>JOSE</w:t>
      </w:r>
      <w:proofErr w:type="spellEnd"/>
      <w:r w:rsidRPr="00D10A17">
        <w:rPr>
          <w:rFonts w:ascii="Garamond" w:hAnsi="Garamond"/>
          <w:i/>
          <w:iCs/>
        </w:rPr>
        <w:t xml:space="preserve"> SALGADO </w:t>
      </w:r>
      <w:proofErr w:type="spellStart"/>
      <w:r w:rsidRPr="00D10A17">
        <w:rPr>
          <w:rFonts w:ascii="Garamond" w:hAnsi="Garamond"/>
          <w:i/>
          <w:iCs/>
        </w:rPr>
        <w:t>AYOLA</w:t>
      </w:r>
      <w:proofErr w:type="spellEnd"/>
      <w:r w:rsidRPr="00D10A17">
        <w:rPr>
          <w:rFonts w:ascii="Garamond" w:hAnsi="Garamond"/>
          <w:i/>
          <w:iCs/>
        </w:rPr>
        <w:t xml:space="preserve"> para cumplir el requisito de experiencia no corresponde a lo exigido por la Entidad. Esta información se puede verificar en el anexo técnico, correspondiente al contrato de obra que se le </w:t>
      </w:r>
      <w:proofErr w:type="spellStart"/>
      <w:r w:rsidRPr="00D10A17">
        <w:rPr>
          <w:rFonts w:ascii="Garamond" w:hAnsi="Garamond"/>
          <w:i/>
          <w:iCs/>
        </w:rPr>
        <w:t>ejercio</w:t>
      </w:r>
      <w:proofErr w:type="spellEnd"/>
      <w:r w:rsidRPr="00D10A17">
        <w:rPr>
          <w:rFonts w:ascii="Garamond" w:hAnsi="Garamond"/>
          <w:i/>
          <w:iCs/>
        </w:rPr>
        <w:t xml:space="preserve"> a la </w:t>
      </w:r>
      <w:proofErr w:type="spellStart"/>
      <w:r w:rsidRPr="00D10A17">
        <w:rPr>
          <w:rFonts w:ascii="Garamond" w:hAnsi="Garamond"/>
          <w:i/>
          <w:iCs/>
        </w:rPr>
        <w:t>interventoria</w:t>
      </w:r>
      <w:proofErr w:type="spellEnd"/>
      <w:r w:rsidRPr="00D10A17">
        <w:rPr>
          <w:rFonts w:ascii="Garamond" w:hAnsi="Garamond"/>
          <w:i/>
          <w:iCs/>
        </w:rPr>
        <w:t>, en el que se puede evidenciar que el contrato corresponde a una edificación, cuyo alcance y características técnicas difieren sustancialmente de las obras propias de un parque</w:t>
      </w:r>
      <w:r w:rsidRPr="00D10A17">
        <w:rPr>
          <w:rFonts w:ascii="Garamond" w:hAnsi="Garamond"/>
          <w:i/>
          <w:iCs/>
        </w:rPr>
        <w:t xml:space="preserve">. </w:t>
      </w:r>
      <w:r w:rsidRPr="00D10A17">
        <w:rPr>
          <w:rFonts w:ascii="Garamond" w:hAnsi="Garamond"/>
          <w:i/>
          <w:iCs/>
        </w:rPr>
        <w:t xml:space="preserve">En consecuencia, la experiencia presentada no guarda relación directa ni equivalencia técnica con el objeto contractual requerido, razón por la cual no cumple con el requisito habilitante de experiencia, incurriendo así en una causal de rechazo conforme a lo dispuesto en el pliego de condiciones. Por lo anterior, se solicita respetuosamente a la Entidad rechazar la propuesta, en aras de garantizar la correcta aplicación de las reglas del proceso y la selección objetiva del contratista. Nos permitimos anexar el anexo técnico de obra. Contrato de obra: https://www.contratos.gov.co/consultas/detalleProceso.do?numConstancia=18- 21-3028 Contrato de </w:t>
      </w:r>
      <w:proofErr w:type="spellStart"/>
      <w:r w:rsidRPr="00D10A17">
        <w:rPr>
          <w:rFonts w:ascii="Garamond" w:hAnsi="Garamond"/>
          <w:i/>
          <w:iCs/>
        </w:rPr>
        <w:t>interventoria</w:t>
      </w:r>
      <w:proofErr w:type="spellEnd"/>
      <w:r w:rsidRPr="00D10A17">
        <w:rPr>
          <w:rFonts w:ascii="Garamond" w:hAnsi="Garamond"/>
          <w:i/>
          <w:iCs/>
        </w:rPr>
        <w:t>: https://www.contratos.gov.co/consultas/detalleProceso.do?numConstancia=18-15-8084558</w:t>
      </w:r>
    </w:p>
    <w:p w14:paraId="600F369E" w14:textId="77777777" w:rsidR="00B70E2B" w:rsidRPr="00D10A17" w:rsidRDefault="00B70E2B" w:rsidP="00E772BF">
      <w:pPr>
        <w:jc w:val="both"/>
        <w:rPr>
          <w:rFonts w:ascii="Garamond" w:hAnsi="Garamond"/>
        </w:rPr>
      </w:pPr>
    </w:p>
    <w:p w14:paraId="2872E5C0" w14:textId="77777777" w:rsidR="006215B1" w:rsidRPr="00D10A17" w:rsidRDefault="006215B1" w:rsidP="006215B1">
      <w:pPr>
        <w:jc w:val="both"/>
        <w:rPr>
          <w:rFonts w:ascii="Garamond" w:hAnsi="Garamond"/>
          <w:b/>
          <w:bCs/>
        </w:rPr>
      </w:pPr>
      <w:r w:rsidRPr="00D10A17">
        <w:rPr>
          <w:rFonts w:ascii="Garamond" w:hAnsi="Garamond"/>
          <w:b/>
          <w:bCs/>
        </w:rPr>
        <w:t xml:space="preserve">Respuesta por la entidad: </w:t>
      </w:r>
    </w:p>
    <w:p w14:paraId="5B54FFBF"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atención a la comunicación remitida por el CONSORCIO ESPACIO VERDE, mediante la cual se formulan observaciones al Informe de Evaluación No. 2 del proceso de contratación FDLF-CMA-004-2025, esta Entidad se permite informar que dicha solicitud resulta improcedente por extemporánea, motivo por el cual no es viable emitir un pronunciamiento de fondo respecto de lo solicitado.</w:t>
      </w:r>
    </w:p>
    <w:p w14:paraId="66E43BEB"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Al respecto, es necesario precisar que el proceso de selección se encuentra sujeto a un cronograma de obligatorio cumplimiento, en el cual se establecen de manera expresa las etapas y los términos para la presentación de observaciones a los informes de evaluación. Una vez vencidos dichos términos, opera el principio de preclusión, conforme al cual las etapas del proceso se entienden agotadas y no pueden ser reabiertas.</w:t>
      </w:r>
    </w:p>
    <w:p w14:paraId="5CDB9809"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el presente caso, las observaciones formuladas por el CONSORCIO ESPACIO VERDE fueron presentadas con posterioridad al cierre de la etapa prevista para observaciones al informe correspondiente, circunstancia que impide jurídicamente a la Entidad reabrir el análisis de los requisitos habilitantes o efectuar una nueva valoración de la experiencia acreditada por otro proponente.</w:t>
      </w:r>
    </w:p>
    <w:p w14:paraId="6F648029"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lastRenderedPageBreak/>
        <w:t>Esta actuación se fundamenta en los artículos 24 y 25 de la Ley 80 de 1993, así como en la Ley 1150 de 2007, normas que consagran los principios de transparencia, economía, responsabilidad, selección objetiva e igualdad entre los oferentes. La jurisprudencia reiterada del Consejo de Estado ha señalado que permitir actuaciones por fuera de los términos definidos en el cronograma vulnera el debido proceso administrativo y afecta la seguridad jurídica del procedimiento de selección.</w:t>
      </w:r>
    </w:p>
    <w:p w14:paraId="7D959E80"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Adicionalmente, debe indicarse que la solicitud presentada no corresponde a una simple aclaración formal, sino que pretende una revisión sustancial de un requisito habilitante, solicitando incluso el rechazo de una propuesta. Este tipo de solicitudes solo pueden ser analizadas dentro de la oportunidad procesal expresamente prevista para ello, y su estudio extemporáneo resultaría contrario al marco normativo aplicable y al principio de igualdad entre proponentes.</w:t>
      </w:r>
    </w:p>
    <w:p w14:paraId="6FEE8D35"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En consecuencia, la Entidad carece de competencia temporal para pronunciarse de fondo sobre la observación presentada, razón por la cual esta se declara no procedente por extemporánea, manteniéndose incólumes las conclusiones del informe de evaluación, las cuales fueron adoptadas con base en la documentación aportada oportunamente y conforme a las reglas del pliego de condiciones.</w:t>
      </w:r>
    </w:p>
    <w:p w14:paraId="2DAC1C12" w14:textId="77777777" w:rsidR="006215B1" w:rsidRPr="006215B1" w:rsidRDefault="006215B1" w:rsidP="006215B1">
      <w:pPr>
        <w:widowControl/>
        <w:autoSpaceDE/>
        <w:autoSpaceDN/>
        <w:spacing w:before="100" w:beforeAutospacing="1" w:after="100" w:afterAutospacing="1"/>
        <w:jc w:val="both"/>
        <w:rPr>
          <w:rFonts w:ascii="Garamond" w:hAnsi="Garamond"/>
          <w:lang w:val="es-CO" w:eastAsia="es-CO"/>
        </w:rPr>
      </w:pPr>
      <w:r w:rsidRPr="006215B1">
        <w:rPr>
          <w:rFonts w:ascii="Garamond" w:hAnsi="Garamond"/>
          <w:lang w:val="es-CO" w:eastAsia="es-CO"/>
        </w:rPr>
        <w:t>La presente decisión se adopta en estricto cumplimiento de los principios de legalidad, transparencia, igualdad, seguridad jurídica y confianza legítima que rigen la contratación estatal.</w:t>
      </w:r>
    </w:p>
    <w:p w14:paraId="526810D4" w14:textId="6B278135" w:rsidR="00D10A17" w:rsidRPr="00D10A17" w:rsidRDefault="00D10A17" w:rsidP="00D10A17">
      <w:pPr>
        <w:jc w:val="both"/>
        <w:rPr>
          <w:rFonts w:ascii="Garamond" w:hAnsi="Garamond"/>
          <w:b/>
          <w:bCs/>
        </w:rPr>
      </w:pPr>
      <w:r w:rsidRPr="00D10A17">
        <w:rPr>
          <w:rFonts w:ascii="Garamond" w:hAnsi="Garamond"/>
          <w:b/>
          <w:bCs/>
        </w:rPr>
        <w:t xml:space="preserve">OBSERVANTE </w:t>
      </w:r>
      <w:r w:rsidRPr="00D10A17">
        <w:rPr>
          <w:rFonts w:ascii="Garamond" w:hAnsi="Garamond"/>
          <w:b/>
          <w:bCs/>
        </w:rPr>
        <w:t>4</w:t>
      </w:r>
      <w:r w:rsidRPr="00D10A17">
        <w:rPr>
          <w:rFonts w:ascii="Garamond" w:hAnsi="Garamond"/>
          <w:b/>
          <w:bCs/>
        </w:rPr>
        <w:t xml:space="preserve"> – </w:t>
      </w:r>
      <w:proofErr w:type="spellStart"/>
      <w:r w:rsidRPr="00D10A17">
        <w:rPr>
          <w:rFonts w:ascii="Garamond" w:hAnsi="Garamond"/>
          <w:b/>
          <w:bCs/>
        </w:rPr>
        <w:t>INGEPROYECT</w:t>
      </w:r>
      <w:proofErr w:type="spellEnd"/>
      <w:r w:rsidRPr="00D10A17">
        <w:rPr>
          <w:rFonts w:ascii="Garamond" w:hAnsi="Garamond"/>
          <w:b/>
          <w:bCs/>
        </w:rPr>
        <w:t xml:space="preserve"> </w:t>
      </w:r>
      <w:proofErr w:type="spellStart"/>
      <w:r w:rsidRPr="00D10A17">
        <w:rPr>
          <w:rFonts w:ascii="Garamond" w:hAnsi="Garamond"/>
          <w:b/>
          <w:bCs/>
        </w:rPr>
        <w:t>LTDA</w:t>
      </w:r>
      <w:proofErr w:type="spellEnd"/>
    </w:p>
    <w:p w14:paraId="7B325388" w14:textId="195715B4" w:rsidR="00D10A17" w:rsidRPr="00D10A17" w:rsidRDefault="00D10A17" w:rsidP="00E772BF">
      <w:pPr>
        <w:pStyle w:val="Textoindependiente"/>
        <w:spacing w:before="252" w:line="232" w:lineRule="auto"/>
        <w:ind w:right="357"/>
        <w:jc w:val="both"/>
        <w:rPr>
          <w:rFonts w:ascii="Garamond" w:hAnsi="Garamond"/>
          <w:i/>
          <w:iCs/>
        </w:rPr>
      </w:pPr>
      <w:r w:rsidRPr="00D10A17">
        <w:rPr>
          <w:rFonts w:ascii="Garamond" w:hAnsi="Garamond"/>
          <w:i/>
          <w:iCs/>
        </w:rPr>
        <w:t xml:space="preserve">Una vez revisado el informe final de evaluación publicado por la Entidad, nos permitimos nuevamente realizar observaciones en relación con la experiencia acreditada, en los siguientes términos: 1. En relación con el Contrato No. 4600077672 de 2018, suscrito con el Municipio de Medellín – Secretaría de Suministros y Servicios, cuyo objeto fue la “Interventoría a la construcción de obras hidráulicas para mitigación de riesgos en cauces de quebradas”, el comité evaluador manifestó lo siguiente: “Analizada la subsanación presentada por </w:t>
      </w:r>
      <w:proofErr w:type="spellStart"/>
      <w:r w:rsidRPr="00D10A17">
        <w:rPr>
          <w:rFonts w:ascii="Garamond" w:hAnsi="Garamond"/>
          <w:i/>
          <w:iCs/>
        </w:rPr>
        <w:t>INGEPROYECT</w:t>
      </w:r>
      <w:proofErr w:type="spellEnd"/>
      <w:r w:rsidRPr="00D10A17">
        <w:rPr>
          <w:rFonts w:ascii="Garamond" w:hAnsi="Garamond"/>
          <w:i/>
          <w:iCs/>
        </w:rPr>
        <w:t xml:space="preserve"> </w:t>
      </w:r>
      <w:proofErr w:type="spellStart"/>
      <w:r w:rsidRPr="00D10A17">
        <w:rPr>
          <w:rFonts w:ascii="Garamond" w:hAnsi="Garamond"/>
          <w:i/>
          <w:iCs/>
        </w:rPr>
        <w:t>LTDA</w:t>
      </w:r>
      <w:proofErr w:type="spellEnd"/>
      <w:r w:rsidRPr="00D10A17">
        <w:rPr>
          <w:rFonts w:ascii="Garamond" w:hAnsi="Garamond"/>
          <w:i/>
          <w:iCs/>
        </w:rPr>
        <w:t>, se ratifica el rechazo de la experiencia aportada, toda vez que el contrato No. 4600077672-2018 no corresponde de manera directa y específica a la interventoría de parques y/o espacio público urbano exigida en la Matriz 1 – Experiencia del Pliego, sino a obras de mitigación de riesgo e infraestructura hidráulica, tipología distinta a la requerida. Adicionalmente, del objeto contractual y de los documentos soporte no es posible identificar ni desagregar de forma objetiva las actividades que el oferente pretende hacer valer como experiencia aportante, ni establecer el valor atribuible a dichas actividades para efectos de su conversión y verificación en salarios mínimos mensuales legales vigentes, conforme a las reglas del Pliego y la normativa aplicable. En consecuencia, la interpretación extensiva propuesta por la oferente resulta improcedente, no desvirtúa la observación efectuada en el informe preliminar y la experiencia se mantiene como no válida para el presente proceso.” Con fundamento en lo anterior, el comité evaluador concluyó que el contrato referido no es válido para acreditar la experiencia, al considerar que su objeto corresponde a interventoría de obras hidráulicas y que no guarda relación directa y específica con las actividades exigidas, las cuales —según el informe— se limitan exclusivamente a: • Interventoría a la construcción, rehabilitación, adecuación, mantenimiento o mejoramiento de parques; y • Interventoría a la construcción, rehabilitación, adecuación, mantenimiento o mejoramiento de espacio público. Al respecto, respetuosamente manifestamos que dicha conclusión no se ajusta a lo dispuesto en el Pliego de Condiciones ni al marco normativo aplicable, por las razones que se exponen a continuación. 1. INTERPRETACIÓN DEL PLIEGO DE CONDICIONES Y LA MATRIZ DE EXPERIENCIA El literal 10.1.1 – Características de los contratos presentados para acreditar la experiencia del proponente establece expresamente que: “Los contratos para acreditar la experiencia deben cumplir las siguientes características: A. Que hayan contenido la ejecución de:</w:t>
      </w:r>
      <w:r w:rsidRPr="00D10A17">
        <w:rPr>
          <w:rFonts w:ascii="Garamond" w:hAnsi="Garamond"/>
          <w:i/>
          <w:iCs/>
        </w:rPr>
        <w:t xml:space="preserve"> </w:t>
      </w:r>
      <w:r w:rsidRPr="00D10A17">
        <w:rPr>
          <w:rFonts w:ascii="Garamond" w:hAnsi="Garamond"/>
          <w:i/>
          <w:iCs/>
        </w:rPr>
        <w:t>B. La experiencia aportada debe ser acorde con el objeto del Proceso de Contratación y con lo dispuesto por la Matriz 1 – Experiencia.” Por su parte, la Matriz 1 – Experiencia exige acreditar experiencia mediante proyectos que correspondan o hayan contenido una o alguna de las siguientes actividades: • Interventoría a construcción, reconstrucción, ampliación, terminación, rehabilitación, mejoramiento, mantenimiento o adecuación de parques. • Interventoría a construcción, reconstrucción, ampliación, terminación, rehabilitación, mejoramiento, mantenimiento o adecuación de espacio público.</w:t>
      </w:r>
      <w:r w:rsidRPr="00D10A17">
        <w:rPr>
          <w:rFonts w:ascii="Garamond" w:hAnsi="Garamond"/>
          <w:i/>
          <w:iCs/>
        </w:rPr>
        <w:t xml:space="preserve"> </w:t>
      </w:r>
      <w:r w:rsidRPr="00D10A17">
        <w:rPr>
          <w:rFonts w:ascii="Garamond" w:hAnsi="Garamond"/>
          <w:i/>
          <w:iCs/>
        </w:rPr>
        <w:t xml:space="preserve">De una interpretación literal, sistemática y finalista del Pliego se concluye que no se exige que el objeto principal del contrato sea de manera exclusiva la interventoría de parques o de espacio público, sino que el contrato haya contenido dentro de su alcance una o varias de las actividades descritas. Aunado a lo anterior, el Pliego establece de manera expresa las únicas exclusiones aplicables: “Nota 1: Para el caso de experiencia de ESPACIO PÚBLICO se excluyen de estos las vías destinadas al tránsito vehicular, así como la INTERVENTORÍA a la conservación y/o preservación de playas marítimas.” En ningún apartado del Pliego se establece como requisito excluyente que el objeto contractual deba </w:t>
      </w:r>
      <w:r w:rsidRPr="00D10A17">
        <w:rPr>
          <w:rFonts w:ascii="Garamond" w:hAnsi="Garamond"/>
          <w:i/>
          <w:iCs/>
        </w:rPr>
        <w:lastRenderedPageBreak/>
        <w:t>denominarse formalmente como “interventoría de parques” o “interventoría de espacio público”. Por el contrario, el Pliego admite una valoración material y funcional de la experiencia, lo cual resulta coherente con la naturaleza técnica de la actividad interventora. Adicionalmente, el literal 10.1.4 – Acreditación de la experiencia requerida dispone: “Los Proponentes acreditarán para cada uno de los contratos aportados (…) IX. Valor total ejecutado. Tratándose de personas obligadas a tener Registro Único de Proponentes (</w:t>
      </w:r>
      <w:proofErr w:type="spellStart"/>
      <w:r w:rsidRPr="00D10A17">
        <w:rPr>
          <w:rFonts w:ascii="Garamond" w:hAnsi="Garamond"/>
          <w:i/>
          <w:iCs/>
        </w:rPr>
        <w:t>RUP</w:t>
      </w:r>
      <w:proofErr w:type="spellEnd"/>
      <w:r w:rsidRPr="00D10A17">
        <w:rPr>
          <w:rFonts w:ascii="Garamond" w:hAnsi="Garamond"/>
          <w:i/>
          <w:iCs/>
        </w:rPr>
        <w:t xml:space="preserve">), el valor ejecutado o facturado se tomará del valor registrado en el </w:t>
      </w:r>
      <w:proofErr w:type="spellStart"/>
      <w:r w:rsidRPr="00D10A17">
        <w:rPr>
          <w:rFonts w:ascii="Garamond" w:hAnsi="Garamond"/>
          <w:i/>
          <w:iCs/>
        </w:rPr>
        <w:t>RUP</w:t>
      </w:r>
      <w:proofErr w:type="spellEnd"/>
      <w:r w:rsidRPr="00D10A17">
        <w:rPr>
          <w:rFonts w:ascii="Garamond" w:hAnsi="Garamond"/>
          <w:i/>
          <w:iCs/>
        </w:rPr>
        <w:t xml:space="preserve"> (…)” De lo anterior se desprende que el Pliego no exige la desagregación del valor contractual por actividades, razón por la cual la exigencia planteada por el comité evaluador carece de sustento en las reglas del proceso y constituye la introducción de un requisito adicional no previsto. 2. MARCO NORMATIVO APLICABLE AL CONCEPTO DE ESPACIO PÚBLICO El Anexo 3 – Glosario del Pliego define el espacio público en los siguientes términos: “Espacio Público: Conjunto de inmuebles públicos y los elementos arquitectónicos y naturales de los inmuebles privados destinados por naturaleza, usos o afectación a la satisfacción de necesidades urbanas colectivas que transcienden los límites de los intereses individuales de los habitantes. El espacio público comprende, entre otros, los siguientes aspectos: a. Los bienes de uso público, es decir aquellos inmuebles de dominio público cuyo uso pertenece a todos los habitantes del territorio nacional, destinados al uso o disfrute colectivo; b. Los elementos arquitectónicos, espaciales y naturales de los inmuebles de propiedad privada que por su naturaleza, uso o afectación satisfacen necesidades de uso público; c. Las áreas requeridas para la conformación del sistema de espacio público en los términos establecidos en el Decreto 1504 de 1998 compilado en el Decreto 1077 de 2015.”. Asimismo, el Decreto 1077 de 2015, en su artículo 2.2.3.1.5 – Elementos del espacio público, establece que el espacio público está conformado, entre otros, por los elementos constitutivos naturales y artificiales del sistema hídrico, tales como:</w:t>
      </w:r>
      <w:r w:rsidRPr="00D10A17">
        <w:rPr>
          <w:rFonts w:ascii="Garamond" w:hAnsi="Garamond"/>
          <w:i/>
          <w:iCs/>
        </w:rPr>
        <w:t xml:space="preserve"> </w:t>
      </w:r>
      <w:r w:rsidRPr="00D10A17">
        <w:rPr>
          <w:rFonts w:ascii="Garamond" w:hAnsi="Garamond"/>
          <w:i/>
          <w:iCs/>
        </w:rPr>
        <w:t xml:space="preserve">• Ríos, quebradas, arroyos y sus rondas hídricas. • Zonas de manejo y protección ambiental. • Canales, diques, presas, escolleras, entre otros. En consecuencia, las quebradas, sus rondas hídricas y zonas de protección ambiental forman parte integrante del espacio público, por mandato expreso de la norma, sin que exista margen para una interpretación restrictiva o excluyente. 3. CORRESPONDENCIA MATERIAL DEL CONTRATO CON LA EXPERIENCIA EXIGIDA El Contrato No. 4600077672-2018 tuvo por objeto la interventoría de obras ejecutadas en las quebradas La </w:t>
      </w:r>
      <w:proofErr w:type="spellStart"/>
      <w:r w:rsidRPr="00D10A17">
        <w:rPr>
          <w:rFonts w:ascii="Garamond" w:hAnsi="Garamond"/>
          <w:i/>
          <w:iCs/>
        </w:rPr>
        <w:t>Bermejala</w:t>
      </w:r>
      <w:proofErr w:type="spellEnd"/>
      <w:r w:rsidRPr="00D10A17">
        <w:rPr>
          <w:rFonts w:ascii="Garamond" w:hAnsi="Garamond"/>
          <w:i/>
          <w:iCs/>
        </w:rPr>
        <w:t xml:space="preserve"> y La Tebaida, ubicadas en la Comuna 3 del Municipio de Medellín, áreas que se encuentran jurídicamente clasificadas como espacio público natural. De acuerdo con la certificación expedida por la entidad contratante, el contrato incluyó, entre otras, actividades de interventoría a la construcción de obras de paisajismo en taludes de quebradas:</w:t>
      </w:r>
      <w:r w:rsidRPr="00D10A17">
        <w:rPr>
          <w:rFonts w:ascii="Garamond" w:hAnsi="Garamond"/>
          <w:i/>
          <w:iCs/>
        </w:rPr>
        <w:t xml:space="preserve"> </w:t>
      </w:r>
      <w:r w:rsidRPr="00D10A17">
        <w:rPr>
          <w:rFonts w:ascii="Garamond" w:hAnsi="Garamond"/>
          <w:i/>
          <w:iCs/>
        </w:rPr>
        <w:t>Adicionalmente, tal como consta en el Acta Final de Obra, el contrato de obra objeto de interventoría comprendió actividades propias del espacio público construido, entre ellas:</w:t>
      </w:r>
      <w:r w:rsidRPr="00D10A17">
        <w:rPr>
          <w:rFonts w:ascii="Garamond" w:hAnsi="Garamond"/>
          <w:i/>
          <w:iCs/>
        </w:rPr>
        <w:t xml:space="preserve"> </w:t>
      </w:r>
      <w:r w:rsidRPr="00D10A17">
        <w:rPr>
          <w:rFonts w:ascii="Garamond" w:hAnsi="Garamond"/>
          <w:i/>
          <w:iCs/>
        </w:rPr>
        <w:t xml:space="preserve">• CONSTRUCCIÓN DE ANDENES PEATONALES Y PLACAS EN CONCRETO como se evidencia en el Ítem 5.7: Suministro y vaciado de concreto para anden peatonal o placa polideportiva en concreto </w:t>
      </w:r>
      <w:proofErr w:type="spellStart"/>
      <w:r w:rsidRPr="00D10A17">
        <w:rPr>
          <w:rFonts w:ascii="Garamond" w:hAnsi="Garamond"/>
          <w:i/>
          <w:iCs/>
        </w:rPr>
        <w:t>f´c</w:t>
      </w:r>
      <w:proofErr w:type="spellEnd"/>
      <w:r w:rsidRPr="00D10A17">
        <w:rPr>
          <w:rFonts w:ascii="Garamond" w:hAnsi="Garamond"/>
          <w:i/>
          <w:iCs/>
        </w:rPr>
        <w:t>=21 MPa, e=0.12 m. Incluye malla electrosoldada D=106, mano de obra, vibrado, formaletas y todo lo necesario para su correcta construcción. Según diseño en planos:</w:t>
      </w:r>
      <w:r w:rsidRPr="00D10A17">
        <w:rPr>
          <w:rFonts w:ascii="Garamond" w:hAnsi="Garamond"/>
          <w:i/>
          <w:iCs/>
        </w:rPr>
        <w:t xml:space="preserve"> </w:t>
      </w:r>
      <w:r w:rsidRPr="00D10A17">
        <w:rPr>
          <w:rFonts w:ascii="Garamond" w:hAnsi="Garamond"/>
          <w:i/>
          <w:iCs/>
        </w:rPr>
        <w:t xml:space="preserve">• INSTALACIÓN DE PASAMANOS Y ELEMENTOS DE SEGURIDAD PEATONAL como se evidencia en el Ítem 8.1: Suministro, transporte e instalación de pasamanos en tubería circular, parales verticales en tubería 2” e=3,00 mm para anclajes en losa cada 2,0 metros, parales verticales en tubería 1 1/2” e=2,00 mm cada 0,10 a ejes y parales horizontales superior e inferior en tubería 2” e=3,00 </w:t>
      </w:r>
      <w:proofErr w:type="spellStart"/>
      <w:r w:rsidRPr="00D10A17">
        <w:rPr>
          <w:rFonts w:ascii="Garamond" w:hAnsi="Garamond"/>
          <w:i/>
          <w:iCs/>
        </w:rPr>
        <w:t>mm.</w:t>
      </w:r>
      <w:proofErr w:type="spellEnd"/>
      <w:r w:rsidRPr="00D10A17">
        <w:rPr>
          <w:rFonts w:ascii="Garamond" w:hAnsi="Garamond"/>
          <w:i/>
          <w:iCs/>
        </w:rPr>
        <w:t xml:space="preserve"> Incluye dos manos de pintura anticorrosiva época y dos manos de esmalte epóxido. Según detalle en planos:</w:t>
      </w:r>
      <w:r w:rsidRPr="00D10A17">
        <w:rPr>
          <w:rFonts w:ascii="Garamond" w:hAnsi="Garamond"/>
          <w:i/>
          <w:iCs/>
        </w:rPr>
        <w:t xml:space="preserve"> </w:t>
      </w:r>
      <w:r w:rsidRPr="00D10A17">
        <w:rPr>
          <w:rFonts w:ascii="Garamond" w:hAnsi="Garamond"/>
          <w:i/>
          <w:iCs/>
        </w:rPr>
        <w:t>Estas actividades corresponden inequívocamente a obras de adecuación, construcción y mejoramiento del espacio público, conforme a los criterios definidos en la Matriz 1 del Pliego de Condiciones. 4. ARGUMENTOS LEGALES DE CONTRATACIÓN PÚBLICA Desde el punto de vista jurídico, la decisión adoptada desconoce principios esenciales de la contratación estatal, entre ellos: a) Principio de selección objetiva Consagrado en el artículo 5 de la Ley 1150 de 2007, exige que la evaluación se realice con base en criterios objetivos, verificables y previamente definidos en el Pliego, sin introducir exigencias adicionales no previstas. b) Principio de interpretación favorable a la pluralidad de oferentes La jurisprudencia del Consejo de Estado ha reiterado que los pliegos deben interpretarse de manera razonable y no restrictiva, privilegiando la participación y evitando interpretaciones que limiten injustificadamente la competencia. c) Prevalencia de lo sustancial sobre lo formal Conforme al artículo 228 de la Constitución Política y su aplicación en contratación pública, debe privilegiarse el contenido material de la experiencia sobre la denominación formal del objeto contractual.</w:t>
      </w:r>
      <w:r w:rsidRPr="00D10A17">
        <w:rPr>
          <w:rFonts w:ascii="Garamond" w:hAnsi="Garamond"/>
          <w:i/>
          <w:iCs/>
        </w:rPr>
        <w:t xml:space="preserve"> </w:t>
      </w:r>
      <w:r w:rsidRPr="00D10A17">
        <w:rPr>
          <w:rFonts w:ascii="Garamond" w:hAnsi="Garamond"/>
          <w:i/>
          <w:iCs/>
        </w:rPr>
        <w:t>d) Vinculatoriedad del Pliego de Condiciones El Pliego constituye la ley del proceso de selección, obligatoria tanto para la Entidad como para los proponentes, lo que impide exigir condiciones distintas o más gravosas a las expresamente previstas. 5. SOLICITUD En virtud de lo anterior, se concluye que el Contrato No. 4600077672-2018: • Cumple con el literal 10.1.1 del Pliego de Condiciones. • Se ajusta a la Matriz 1 – Experiencia. • Corresponde material y normativamente a interventoría de espacio público, conforme al Decreto 1077 de 2015. • Satisface los principios y reglas de la contratación estatal colombiana. Por lo tanto, solicitamos respetuosamente que la experiencia aportada sea reevaluada y tenida en cuenta en la evaluación, al cumplir plenamente con los requisitos técnicos, normativos y documentales exigidos en el proceso de contratación.</w:t>
      </w:r>
    </w:p>
    <w:p w14:paraId="263BDB62" w14:textId="77777777" w:rsidR="00D10A17" w:rsidRPr="00D10A17" w:rsidRDefault="00D10A17" w:rsidP="00D10A17">
      <w:pPr>
        <w:jc w:val="both"/>
        <w:rPr>
          <w:rFonts w:ascii="Garamond" w:hAnsi="Garamond"/>
          <w:b/>
          <w:bCs/>
        </w:rPr>
      </w:pPr>
    </w:p>
    <w:p w14:paraId="0DE7D13B" w14:textId="11528819" w:rsidR="00D10A17" w:rsidRPr="00D10A17" w:rsidRDefault="00D10A17" w:rsidP="00D10A17">
      <w:pPr>
        <w:jc w:val="both"/>
        <w:rPr>
          <w:rFonts w:ascii="Garamond" w:hAnsi="Garamond"/>
          <w:b/>
          <w:bCs/>
        </w:rPr>
      </w:pPr>
      <w:r w:rsidRPr="00D10A17">
        <w:rPr>
          <w:rFonts w:ascii="Garamond" w:hAnsi="Garamond"/>
          <w:b/>
          <w:bCs/>
        </w:rPr>
        <w:t xml:space="preserve">Respuesta por la entidad: </w:t>
      </w:r>
    </w:p>
    <w:p w14:paraId="56043B59"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lastRenderedPageBreak/>
        <w:t xml:space="preserve">En atención a las observaciones presentadas por la sociedad </w:t>
      </w:r>
      <w:proofErr w:type="spellStart"/>
      <w:r w:rsidRPr="00D10A17">
        <w:rPr>
          <w:rFonts w:ascii="Garamond" w:hAnsi="Garamond"/>
          <w:lang w:val="es-CO" w:eastAsia="es-CO"/>
        </w:rPr>
        <w:t>INGEPROYECT</w:t>
      </w:r>
      <w:proofErr w:type="spellEnd"/>
      <w:r w:rsidRPr="00D10A17">
        <w:rPr>
          <w:rFonts w:ascii="Garamond" w:hAnsi="Garamond"/>
          <w:lang w:val="es-CO" w:eastAsia="es-CO"/>
        </w:rPr>
        <w:t xml:space="preserve"> </w:t>
      </w:r>
      <w:proofErr w:type="spellStart"/>
      <w:r w:rsidRPr="00D10A17">
        <w:rPr>
          <w:rFonts w:ascii="Garamond" w:hAnsi="Garamond"/>
          <w:lang w:val="es-CO" w:eastAsia="es-CO"/>
        </w:rPr>
        <w:t>LTDA</w:t>
      </w:r>
      <w:proofErr w:type="spellEnd"/>
      <w:r w:rsidRPr="00D10A17">
        <w:rPr>
          <w:rFonts w:ascii="Garamond" w:hAnsi="Garamond"/>
          <w:lang w:val="es-CO" w:eastAsia="es-CO"/>
        </w:rPr>
        <w:t xml:space="preserve"> frente al Informe de Evaluación Final del proceso de contratación FDLF-CMA-004-2025, relacionadas con la no aceptación del Contrato No. 4600077672 de 2018 como experiencia válida para el cumplimiento de la Matriz 1 – Experiencia, la Entidad se permite dar respuesta en los siguientes términos:</w:t>
      </w:r>
    </w:p>
    <w:p w14:paraId="7B65B173" w14:textId="244E65EC"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 xml:space="preserve">De manera preliminar, es preciso señalar que el análisis efectuado por el Comité Evaluador se realizó en estricto cumplimiento de las reglas del Pliego de Condiciones, los Documentos Tipo de Interventoría de Infraestructura de Transporte y la doctrina vigente de la Agencia Nacional de Contratación Pública – Colombia Compra Eficiente, </w:t>
      </w:r>
      <w:r w:rsidR="00DC4962">
        <w:rPr>
          <w:rFonts w:ascii="Garamond" w:hAnsi="Garamond"/>
          <w:lang w:val="es-CO" w:eastAsia="es-CO"/>
        </w:rPr>
        <w:t xml:space="preserve">sumado a lo que </w:t>
      </w:r>
      <w:r w:rsidRPr="00D10A17">
        <w:rPr>
          <w:rFonts w:ascii="Garamond" w:hAnsi="Garamond"/>
          <w:lang w:val="es-CO" w:eastAsia="es-CO"/>
        </w:rPr>
        <w:t xml:space="preserve">particularmente </w:t>
      </w:r>
      <w:r w:rsidR="00DC4962">
        <w:rPr>
          <w:rFonts w:ascii="Garamond" w:hAnsi="Garamond"/>
          <w:lang w:val="es-CO" w:eastAsia="es-CO"/>
        </w:rPr>
        <w:t>se expone</w:t>
      </w:r>
      <w:r w:rsidRPr="00D10A17">
        <w:rPr>
          <w:rFonts w:ascii="Garamond" w:hAnsi="Garamond"/>
          <w:lang w:val="es-CO" w:eastAsia="es-CO"/>
        </w:rPr>
        <w:t xml:space="preserve"> en el Concepto C-1240 de 2025</w:t>
      </w:r>
      <w:r w:rsidR="00DC4962">
        <w:rPr>
          <w:rFonts w:ascii="Garamond" w:hAnsi="Garamond"/>
          <w:lang w:val="es-CO" w:eastAsia="es-CO"/>
        </w:rPr>
        <w:t xml:space="preserve"> de Colombia Compra.</w:t>
      </w:r>
    </w:p>
    <w:p w14:paraId="07558D1B"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dicho concepto, la Agencia estableció de manera clara que, cuando un contrato aportado para acreditar experiencia contiene múltiples actividades, la Entidad Estatal debe verificar si la totalidad de las actividades ejecutadas son susceptibles de ser tenidas en cuenta para cumplir el requisito de experiencia establecido en la Matriz 1. Asimismo, precisó que, cuando un contrato contiene actividades relacionadas con la experiencia exigida y otras que no lo están, la Entidad debe fraccionar la evaluación de la experiencia y considerar únicamente aquella parte del objeto contractual que sí cumple con el requisito habilitante, siempre que dicho fraccionamiento pueda realizarse de manera objetiva, verificable y con base en los documentos soporte allegados por el proponente.</w:t>
      </w:r>
    </w:p>
    <w:p w14:paraId="7812EFE4" w14:textId="1F8C342D"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el caso particular del Contrato No. 4600077672 de 2018, el Comité Evaluador realizó el análisis material del objeto contractual y de los documentos aportados, encontrando que dicho contrato corresponde predominantemente a la interventoría de obras hidráulicas para mitigación del riesgo, tipología distinta a la experiencia exigida en la Matriz 1 del Pliego, la cual se circunscribe a la interventoría de proyectos de parques y/o espacio público.</w:t>
      </w:r>
    </w:p>
    <w:p w14:paraId="0989E8AE"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Si bien del alcance contractual se desprende la ejecución de algunas actividades que podrían relacionarse de manera tangencial con el espacio público, el Comité Evaluador concluyó que no es posible identificar ni desagregar de forma objetiva, clara y verificable las actividades que el oferente pretende hacer valer como experiencia aportante, ni determinar el valor atribuible a dichas actividades para efectos de su conversión y verificación en salarios mínimos mensuales legales vigentes, conforme a las reglas del Pliego de Condiciones.</w:t>
      </w:r>
    </w:p>
    <w:p w14:paraId="0AB00F97"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este punto resulta fundamental precisar que el Concepto C-1240 de 2025 no impone a las entidades la obligación de aceptar experiencia cuya evaluación no sea objetivamente fraccionable, ni autoriza a inferir, estimar o presumir valores o proporciones de actividades no discriminadas en los documentos soporte. Por el contrario, dicho concepto condiciona el fraccionamiento de la experiencia a la existencia de información suficiente, verificable y objetiva que permita realizar dicha operación sin afectar los principios de selección objetiva, transparencia e igualdad entre proponentes.</w:t>
      </w:r>
    </w:p>
    <w:p w14:paraId="1F52C60F"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Aceptar la totalidad del valor del contrato o realizar una imputación parcial sin soporte documental expreso implicaría una interpretación extensiva de la Matriz 1 y del Pliego de Condiciones, lo cual se encuentra prohibido tanto por la regla de inalterabilidad de los Documentos Tipo como por la jurisprudencia reiterada del Consejo de Estado en materia de causales de habilitación y rechazo.</w:t>
      </w:r>
    </w:p>
    <w:p w14:paraId="4584FBC0" w14:textId="77777777" w:rsidR="00D10A17" w:rsidRPr="00D10A17" w:rsidRDefault="00D10A17" w:rsidP="00D10A17">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En consecuencia, la decisión adoptada por el Comité Evaluador no se fundamenta en una exigencia de exclusividad del objeto contractual, ni en la denominación formal del contrato, sino en la imposibilidad técnica y documental de efectuar un fraccionamiento objetivo de la experiencia que permita verificar su cumplimiento conforme a los criterios habilitantes establecidos en el Pliego y la Matriz 1.</w:t>
      </w:r>
    </w:p>
    <w:p w14:paraId="39A2985A" w14:textId="60BA6C4D" w:rsidR="00D10A17" w:rsidRPr="00F22BB1" w:rsidRDefault="00D10A17" w:rsidP="00F22BB1">
      <w:pPr>
        <w:widowControl/>
        <w:autoSpaceDE/>
        <w:autoSpaceDN/>
        <w:spacing w:before="100" w:beforeAutospacing="1" w:after="100" w:afterAutospacing="1"/>
        <w:jc w:val="both"/>
        <w:rPr>
          <w:rFonts w:ascii="Garamond" w:hAnsi="Garamond"/>
          <w:lang w:val="es-CO" w:eastAsia="es-CO"/>
        </w:rPr>
      </w:pPr>
      <w:r w:rsidRPr="00D10A17">
        <w:rPr>
          <w:rFonts w:ascii="Garamond" w:hAnsi="Garamond"/>
          <w:lang w:val="es-CO" w:eastAsia="es-CO"/>
        </w:rPr>
        <w:t>Por lo anterior, y en aplicación estricta de los Documentos Tipo de Interventoría de Infraestructura de Transporte, del Concepto C-1240 de 2025 de Colombia Compra Eficiente y de los principios que rigen la contratación estatal, la Entidad ratifica la conclusión contenida en el Informe de Evaluación Final y mantiene como no válida la experiencia aportada mediante el Contrato No. 4600077672 de 2018 para efectos del presente proceso de selección.</w:t>
      </w:r>
    </w:p>
    <w:sectPr w:rsidR="00D10A17" w:rsidRPr="00F22BB1" w:rsidSect="00E772BF">
      <w:headerReference w:type="default" r:id="rId12"/>
      <w:footerReference w:type="default" r:id="rId13"/>
      <w:pgSz w:w="12240" w:h="15840"/>
      <w:pgMar w:top="1701" w:right="1080" w:bottom="1560" w:left="1080" w:header="115" w:footer="4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39509F" w14:textId="77777777" w:rsidR="00800180" w:rsidRDefault="00800180">
      <w:r>
        <w:separator/>
      </w:r>
    </w:p>
  </w:endnote>
  <w:endnote w:type="continuationSeparator" w:id="0">
    <w:p w14:paraId="32586925" w14:textId="77777777" w:rsidR="00800180" w:rsidRDefault="008001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EF8EA9" w14:textId="77777777" w:rsidR="002F02AE" w:rsidRDefault="002F02AE">
    <w:pPr>
      <w:pStyle w:val="Textoindependiente"/>
      <w:spacing w:line="14" w:lineRule="auto"/>
      <w:rPr>
        <w:sz w:val="20"/>
      </w:rPr>
    </w:pPr>
    <w:r>
      <w:rPr>
        <w:noProof/>
        <w:sz w:val="20"/>
      </w:rPr>
      <mc:AlternateContent>
        <mc:Choice Requires="wps">
          <w:drawing>
            <wp:anchor distT="0" distB="0" distL="0" distR="0" simplePos="0" relativeHeight="487547392" behindDoc="1" locked="0" layoutInCell="1" allowOverlap="1" wp14:anchorId="714DF3D8" wp14:editId="56908DB1">
              <wp:simplePos x="0" y="0"/>
              <wp:positionH relativeFrom="page">
                <wp:posOffset>6065520</wp:posOffset>
              </wp:positionH>
              <wp:positionV relativeFrom="page">
                <wp:posOffset>9637652</wp:posOffset>
              </wp:positionV>
              <wp:extent cx="633730" cy="138430"/>
              <wp:effectExtent l="0" t="0" r="0" b="0"/>
              <wp:wrapNone/>
              <wp:docPr id="6"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730" cy="138430"/>
                      </a:xfrm>
                      <a:prstGeom prst="rect">
                        <a:avLst/>
                      </a:prstGeom>
                    </wps:spPr>
                    <wps:txbx>
                      <w:txbxContent>
                        <w:p w14:paraId="70833276" w14:textId="77777777" w:rsidR="002F02AE" w:rsidRDefault="002F02AE">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wps:txbx>
                    <wps:bodyPr wrap="square" lIns="0" tIns="0" rIns="0" bIns="0" rtlCol="0">
                      <a:noAutofit/>
                    </wps:bodyPr>
                  </wps:wsp>
                </a:graphicData>
              </a:graphic>
            </wp:anchor>
          </w:drawing>
        </mc:Choice>
        <mc:Fallback>
          <w:pict>
            <v:shapetype w14:anchorId="714DF3D8" id="_x0000_t202" coordsize="21600,21600" o:spt="202" path="m,l,21600r21600,l21600,xe">
              <v:stroke joinstyle="miter"/>
              <v:path gradientshapeok="t" o:connecttype="rect"/>
            </v:shapetype>
            <v:shape id="Textbox 3" o:spid="_x0000_s1027" type="#_x0000_t202" style="position:absolute;margin-left:477.6pt;margin-top:758.85pt;width:49.9pt;height:10.9pt;z-index:-15769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" filled="f" stroked="f">
              <v:textbox inset="0,0,0,0">
                <w:txbxContent>
                  <w:p w14:paraId="70833276" w14:textId="77777777" w:rsidR="002F02AE" w:rsidRDefault="002F02AE">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71C0DF" w14:textId="77777777" w:rsidR="00636E70" w:rsidRDefault="00800180">
    <w:pPr>
      <w:pStyle w:val="Textoindependiente"/>
      <w:spacing w:line="14" w:lineRule="auto"/>
      <w:rPr>
        <w:sz w:val="20"/>
      </w:rPr>
    </w:pPr>
    <w:r>
      <w:rPr>
        <w:noProof/>
        <w:sz w:val="20"/>
      </w:rPr>
      <mc:AlternateContent>
        <mc:Choice Requires="wps">
          <w:drawing>
            <wp:anchor distT="0" distB="0" distL="0" distR="0" simplePos="0" relativeHeight="487543296" behindDoc="1" locked="0" layoutInCell="1" allowOverlap="1" wp14:anchorId="5C71F34C" wp14:editId="1A8F8773">
              <wp:simplePos x="0" y="0"/>
              <wp:positionH relativeFrom="page">
                <wp:posOffset>6065520</wp:posOffset>
              </wp:positionH>
              <wp:positionV relativeFrom="page">
                <wp:posOffset>9637652</wp:posOffset>
              </wp:positionV>
              <wp:extent cx="633730" cy="13843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3730" cy="138430"/>
                      </a:xfrm>
                      <a:prstGeom prst="rect">
                        <a:avLst/>
                      </a:prstGeom>
                    </wps:spPr>
                    <wps:txbx>
                      <w:txbxContent>
                        <w:p w14:paraId="26CB5C59" w14:textId="77777777" w:rsidR="00636E70" w:rsidRDefault="00800180">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wps:txbx>
                    <wps:bodyPr wrap="square" lIns="0" tIns="0" rIns="0" bIns="0" rtlCol="0">
                      <a:noAutofit/>
                    </wps:bodyPr>
                  </wps:wsp>
                </a:graphicData>
              </a:graphic>
            </wp:anchor>
          </w:drawing>
        </mc:Choice>
        <mc:Fallback>
          <w:pict>
            <v:shapetype w14:anchorId="5C71F34C" id="_x0000_t202" coordsize="21600,21600" o:spt="202" path="m,l,21600r21600,l21600,xe">
              <v:stroke joinstyle="miter"/>
              <v:path gradientshapeok="t" o:connecttype="rect"/>
            </v:shapetype>
            <v:shape id="_x0000_s1029" type="#_x0000_t202" style="position:absolute;margin-left:477.6pt;margin-top:758.85pt;width:49.9pt;height:10.9pt;z-index:-15773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" filled="f" stroked="f">
              <v:textbox inset="0,0,0,0">
                <w:txbxContent>
                  <w:p w14:paraId="26CB5C59" w14:textId="77777777" w:rsidR="00636E70" w:rsidRDefault="00800180">
                    <w:pPr>
                      <w:spacing w:before="13"/>
                      <w:ind w:left="20"/>
                      <w:rPr>
                        <w:sz w:val="16"/>
                      </w:rPr>
                    </w:pPr>
                    <w:r>
                      <w:rPr>
                        <w:rFonts w:ascii="Arial MT" w:hAnsi="Arial MT"/>
                        <w:sz w:val="16"/>
                      </w:rPr>
                      <w:t>Página</w:t>
                    </w:r>
                    <w:r>
                      <w:rPr>
                        <w:rFonts w:ascii="Arial MT" w:hAnsi="Arial MT"/>
                        <w:spacing w:val="-7"/>
                        <w:sz w:val="16"/>
                      </w:rPr>
                      <w:t xml:space="preserve"> </w:t>
                    </w:r>
                    <w:r>
                      <w:rPr>
                        <w:sz w:val="16"/>
                      </w:rPr>
                      <w:fldChar w:fldCharType="begin"/>
                    </w:r>
                    <w:r>
                      <w:rPr>
                        <w:sz w:val="16"/>
                      </w:rPr>
                      <w:instrText xml:space="preserve"> PAGE </w:instrText>
                    </w:r>
                    <w:r>
                      <w:rPr>
                        <w:sz w:val="16"/>
                      </w:rPr>
                      <w:fldChar w:fldCharType="separate"/>
                    </w:r>
                    <w:r>
                      <w:rPr>
                        <w:sz w:val="16"/>
                      </w:rPr>
                      <w:t>1</w:t>
                    </w:r>
                    <w:r>
                      <w:rPr>
                        <w:sz w:val="16"/>
                      </w:rPr>
                      <w:fldChar w:fldCharType="end"/>
                    </w:r>
                    <w:r>
                      <w:rPr>
                        <w:spacing w:val="-2"/>
                        <w:sz w:val="16"/>
                      </w:rPr>
                      <w:t xml:space="preserve"> </w:t>
                    </w:r>
                    <w:r>
                      <w:rPr>
                        <w:rFonts w:ascii="Arial MT" w:hAnsi="Arial MT"/>
                        <w:sz w:val="16"/>
                      </w:rPr>
                      <w:t>de</w:t>
                    </w:r>
                    <w:r>
                      <w:rPr>
                        <w:rFonts w:ascii="Arial MT" w:hAnsi="Arial MT"/>
                        <w:spacing w:val="-5"/>
                        <w:sz w:val="16"/>
                      </w:rPr>
                      <w:t xml:space="preserve"> </w:t>
                    </w:r>
                    <w:r>
                      <w:rPr>
                        <w:spacing w:val="-10"/>
                        <w:sz w:val="16"/>
                      </w:rPr>
                      <w:fldChar w:fldCharType="begin"/>
                    </w:r>
                    <w:r>
                      <w:rPr>
                        <w:spacing w:val="-10"/>
                        <w:sz w:val="16"/>
                      </w:rPr>
                      <w:instrText xml:space="preserve"> NUMPAGES </w:instrText>
                    </w:r>
                    <w:r>
                      <w:rPr>
                        <w:spacing w:val="-10"/>
                        <w:sz w:val="16"/>
                      </w:rPr>
                      <w:fldChar w:fldCharType="separate"/>
                    </w:r>
                    <w:r>
                      <w:rPr>
                        <w:spacing w:val="-10"/>
                        <w:sz w:val="16"/>
                      </w:rPr>
                      <w:t>3</w:t>
                    </w:r>
                    <w:r>
                      <w:rPr>
                        <w:spacing w:val="-10"/>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014D27" w14:textId="77777777" w:rsidR="00800180" w:rsidRDefault="00800180">
      <w:r>
        <w:separator/>
      </w:r>
    </w:p>
  </w:footnote>
  <w:footnote w:type="continuationSeparator" w:id="0">
    <w:p w14:paraId="521F6907" w14:textId="77777777" w:rsidR="00800180" w:rsidRDefault="008001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1DBE0" w14:textId="77777777" w:rsidR="002F02AE" w:rsidRDefault="002F02AE">
    <w:pPr>
      <w:pStyle w:val="Textoindependiente"/>
      <w:spacing w:line="14" w:lineRule="auto"/>
      <w:rPr>
        <w:sz w:val="20"/>
      </w:rPr>
    </w:pPr>
    <w:r>
      <w:rPr>
        <w:noProof/>
        <w:sz w:val="20"/>
      </w:rPr>
      <w:drawing>
        <wp:anchor distT="0" distB="0" distL="0" distR="0" simplePos="0" relativeHeight="487545344" behindDoc="1" locked="0" layoutInCell="1" allowOverlap="1" wp14:anchorId="02F1101E" wp14:editId="7503F230">
          <wp:simplePos x="0" y="0"/>
          <wp:positionH relativeFrom="page">
            <wp:posOffset>3722371</wp:posOffset>
          </wp:positionH>
          <wp:positionV relativeFrom="page">
            <wp:posOffset>73025</wp:posOffset>
          </wp:positionV>
          <wp:extent cx="327025" cy="383302"/>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327025" cy="383302"/>
                  </a:xfrm>
                  <a:prstGeom prst="rect">
                    <a:avLst/>
                  </a:prstGeom>
                </pic:spPr>
              </pic:pic>
            </a:graphicData>
          </a:graphic>
        </wp:anchor>
      </w:drawing>
    </w:r>
    <w:r>
      <w:rPr>
        <w:noProof/>
        <w:sz w:val="20"/>
      </w:rPr>
      <mc:AlternateContent>
        <mc:Choice Requires="wps">
          <w:drawing>
            <wp:anchor distT="0" distB="0" distL="0" distR="0" simplePos="0" relativeHeight="487546368" behindDoc="1" locked="0" layoutInCell="1" allowOverlap="1" wp14:anchorId="336F0A7C" wp14:editId="45F208F2">
              <wp:simplePos x="0" y="0"/>
              <wp:positionH relativeFrom="page">
                <wp:posOffset>3163825</wp:posOffset>
              </wp:positionH>
              <wp:positionV relativeFrom="page">
                <wp:posOffset>463910</wp:posOffset>
              </wp:positionV>
              <wp:extent cx="1485900" cy="391160"/>
              <wp:effectExtent l="0" t="0" r="0" b="0"/>
              <wp:wrapNone/>
              <wp:docPr id="5"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391160"/>
                      </a:xfrm>
                      <a:prstGeom prst="rect">
                        <a:avLst/>
                      </a:prstGeom>
                    </wps:spPr>
                    <wps:txbx>
                      <w:txbxContent>
                        <w:p w14:paraId="263A778D" w14:textId="77777777" w:rsidR="002F02AE" w:rsidRDefault="002F02AE">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2C0911B9" w14:textId="77777777" w:rsidR="002F02AE" w:rsidRDefault="002F02AE">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 xml:space="preserve">ALCALDÍA LOCAL DE </w:t>
                          </w:r>
                          <w:proofErr w:type="spellStart"/>
                          <w:r>
                            <w:rPr>
                              <w:rFonts w:ascii="Arial" w:hAnsi="Arial"/>
                              <w:b/>
                              <w:sz w:val="12"/>
                            </w:rPr>
                            <w:t>FONTIBON</w:t>
                          </w:r>
                          <w:proofErr w:type="spellEnd"/>
                        </w:p>
                      </w:txbxContent>
                    </wps:txbx>
                    <wps:bodyPr wrap="square" lIns="0" tIns="0" rIns="0" bIns="0" rtlCol="0">
                      <a:noAutofit/>
                    </wps:bodyPr>
                  </wps:wsp>
                </a:graphicData>
              </a:graphic>
            </wp:anchor>
          </w:drawing>
        </mc:Choice>
        <mc:Fallback>
          <w:pict>
            <v:shapetype w14:anchorId="336F0A7C" id="_x0000_t202" coordsize="21600,21600" o:spt="202" path="m,l,21600r21600,l21600,xe">
              <v:stroke joinstyle="miter"/>
              <v:path gradientshapeok="t" o:connecttype="rect"/>
            </v:shapetype>
            <v:shape id="Textbox 2" o:spid="_x0000_s1026" type="#_x0000_t202" style="position:absolute;margin-left:249.1pt;margin-top:36.55pt;width:117pt;height:30.8pt;z-index:-15770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" filled="f" stroked="f">
              <v:textbox inset="0,0,0,0">
                <w:txbxContent>
                  <w:p w14:paraId="263A778D" w14:textId="77777777" w:rsidR="002F02AE" w:rsidRDefault="002F02AE">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2C0911B9" w14:textId="77777777" w:rsidR="002F02AE" w:rsidRDefault="002F02AE">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 xml:space="preserve">ALCALDÍA LOCAL DE </w:t>
                    </w:r>
                    <w:proofErr w:type="spellStart"/>
                    <w:r>
                      <w:rPr>
                        <w:rFonts w:ascii="Arial" w:hAnsi="Arial"/>
                        <w:b/>
                        <w:sz w:val="12"/>
                      </w:rPr>
                      <w:t>FONTIBON</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0DB67" w14:textId="77777777" w:rsidR="00636E70" w:rsidRDefault="00800180">
    <w:pPr>
      <w:pStyle w:val="Textoindependiente"/>
      <w:spacing w:line="14" w:lineRule="auto"/>
      <w:rPr>
        <w:sz w:val="20"/>
      </w:rPr>
    </w:pPr>
    <w:r>
      <w:rPr>
        <w:noProof/>
        <w:sz w:val="20"/>
      </w:rPr>
      <w:drawing>
        <wp:anchor distT="0" distB="0" distL="0" distR="0" simplePos="0" relativeHeight="487542272" behindDoc="1" locked="0" layoutInCell="1" allowOverlap="1" wp14:anchorId="467DDF77" wp14:editId="65F2AB2D">
          <wp:simplePos x="0" y="0"/>
          <wp:positionH relativeFrom="page">
            <wp:posOffset>3722371</wp:posOffset>
          </wp:positionH>
          <wp:positionV relativeFrom="page">
            <wp:posOffset>73025</wp:posOffset>
          </wp:positionV>
          <wp:extent cx="327025" cy="383302"/>
          <wp:effectExtent l="0" t="0" r="0" b="0"/>
          <wp:wrapNone/>
          <wp:docPr id="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cstate="print"/>
                  <a:stretch>
                    <a:fillRect/>
                  </a:stretch>
                </pic:blipFill>
                <pic:spPr>
                  <a:xfrm>
                    <a:off x="0" y="0"/>
                    <a:ext cx="327025" cy="383302"/>
                  </a:xfrm>
                  <a:prstGeom prst="rect">
                    <a:avLst/>
                  </a:prstGeom>
                </pic:spPr>
              </pic:pic>
            </a:graphicData>
          </a:graphic>
        </wp:anchor>
      </w:drawing>
    </w:r>
    <w:r>
      <w:rPr>
        <w:noProof/>
        <w:sz w:val="20"/>
      </w:rPr>
      <mc:AlternateContent>
        <mc:Choice Requires="wps">
          <w:drawing>
            <wp:anchor distT="0" distB="0" distL="0" distR="0" simplePos="0" relativeHeight="487542784" behindDoc="1" locked="0" layoutInCell="1" allowOverlap="1" wp14:anchorId="299DBA1C" wp14:editId="22F99911">
              <wp:simplePos x="0" y="0"/>
              <wp:positionH relativeFrom="page">
                <wp:posOffset>3163825</wp:posOffset>
              </wp:positionH>
              <wp:positionV relativeFrom="page">
                <wp:posOffset>463910</wp:posOffset>
              </wp:positionV>
              <wp:extent cx="1485900" cy="39116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485900" cy="391160"/>
                      </a:xfrm>
                      <a:prstGeom prst="rect">
                        <a:avLst/>
                      </a:prstGeom>
                    </wps:spPr>
                    <wps:txbx>
                      <w:txbxContent>
                        <w:p w14:paraId="0F4BFC48" w14:textId="77777777" w:rsidR="00636E70" w:rsidRDefault="00800180">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7119FDCA" w14:textId="77777777" w:rsidR="00636E70" w:rsidRDefault="00800180">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ALCALDÍA LOCAL DE FONTIBON</w:t>
                          </w:r>
                        </w:p>
                      </w:txbxContent>
                    </wps:txbx>
                    <wps:bodyPr wrap="square" lIns="0" tIns="0" rIns="0" bIns="0" rtlCol="0">
                      <a:noAutofit/>
                    </wps:bodyPr>
                  </wps:wsp>
                </a:graphicData>
              </a:graphic>
            </wp:anchor>
          </w:drawing>
        </mc:Choice>
        <mc:Fallback>
          <w:pict>
            <v:shapetype w14:anchorId="299DBA1C" id="_x0000_t202" coordsize="21600,21600" o:spt="202" path="m,l,21600r21600,l21600,xe">
              <v:stroke joinstyle="miter"/>
              <v:path gradientshapeok="t" o:connecttype="rect"/>
            </v:shapetype>
            <v:shape id="_x0000_s1028" type="#_x0000_t202" style="position:absolute;margin-left:249.1pt;margin-top:36.55pt;width:117pt;height:30.8pt;z-index:-1577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" filled="f" stroked="f">
              <v:textbox inset="0,0,0,0">
                <w:txbxContent>
                  <w:p w14:paraId="0F4BFC48" w14:textId="77777777" w:rsidR="00636E70" w:rsidRDefault="00800180">
                    <w:pPr>
                      <w:spacing w:before="16" w:line="249" w:lineRule="auto"/>
                      <w:ind w:left="670" w:right="512" w:hanging="46"/>
                      <w:rPr>
                        <w:rFonts w:ascii="Arial" w:hAnsi="Arial"/>
                        <w:b/>
                        <w:sz w:val="12"/>
                      </w:rPr>
                    </w:pPr>
                    <w:r>
                      <w:rPr>
                        <w:rFonts w:ascii="Arial" w:hAnsi="Arial"/>
                        <w:b/>
                        <w:spacing w:val="-2"/>
                        <w:sz w:val="12"/>
                      </w:rPr>
                      <w:t>ALCALDÍA</w:t>
                    </w:r>
                    <w:r>
                      <w:rPr>
                        <w:rFonts w:ascii="Arial" w:hAnsi="Arial"/>
                        <w:b/>
                        <w:spacing w:val="-10"/>
                        <w:sz w:val="12"/>
                      </w:rPr>
                      <w:t xml:space="preserve"> </w:t>
                    </w:r>
                    <w:r>
                      <w:rPr>
                        <w:rFonts w:ascii="Arial" w:hAnsi="Arial"/>
                        <w:b/>
                        <w:spacing w:val="-2"/>
                        <w:sz w:val="12"/>
                      </w:rPr>
                      <w:t>MAYOR</w:t>
                    </w:r>
                    <w:r>
                      <w:rPr>
                        <w:rFonts w:ascii="Arial" w:hAnsi="Arial"/>
                        <w:b/>
                        <w:spacing w:val="40"/>
                        <w:sz w:val="12"/>
                      </w:rPr>
                      <w:t xml:space="preserve"> </w:t>
                    </w:r>
                    <w:r>
                      <w:rPr>
                        <w:rFonts w:ascii="Arial" w:hAnsi="Arial"/>
                        <w:b/>
                        <w:sz w:val="12"/>
                      </w:rPr>
                      <w:t>DE</w:t>
                    </w:r>
                    <w:r>
                      <w:rPr>
                        <w:rFonts w:ascii="Arial" w:hAnsi="Arial"/>
                        <w:b/>
                        <w:spacing w:val="-3"/>
                        <w:sz w:val="12"/>
                      </w:rPr>
                      <w:t xml:space="preserve"> </w:t>
                    </w:r>
                    <w:r>
                      <w:rPr>
                        <w:rFonts w:ascii="Arial" w:hAnsi="Arial"/>
                        <w:b/>
                        <w:sz w:val="12"/>
                      </w:rPr>
                      <w:t xml:space="preserve">BOGOTÁ </w:t>
                    </w:r>
                    <w:r>
                      <w:rPr>
                        <w:rFonts w:ascii="Arial" w:hAnsi="Arial"/>
                        <w:b/>
                        <w:spacing w:val="-4"/>
                        <w:sz w:val="12"/>
                      </w:rPr>
                      <w:t>D.C.</w:t>
                    </w:r>
                  </w:p>
                  <w:p w14:paraId="7119FDCA" w14:textId="77777777" w:rsidR="00636E70" w:rsidRDefault="00800180">
                    <w:pPr>
                      <w:spacing w:before="10" w:line="249" w:lineRule="auto"/>
                      <w:ind w:left="43" w:hanging="24"/>
                      <w:rPr>
                        <w:rFonts w:ascii="Arial" w:hAnsi="Arial"/>
                        <w:b/>
                        <w:sz w:val="12"/>
                      </w:rPr>
                    </w:pPr>
                    <w:r>
                      <w:rPr>
                        <w:rFonts w:ascii="Arial" w:hAnsi="Arial"/>
                        <w:b/>
                        <w:spacing w:val="-2"/>
                        <w:sz w:val="12"/>
                      </w:rPr>
                      <w:t>SECRETARIA</w:t>
                    </w:r>
                    <w:r>
                      <w:rPr>
                        <w:rFonts w:ascii="Arial" w:hAnsi="Arial"/>
                        <w:b/>
                        <w:spacing w:val="-5"/>
                        <w:sz w:val="12"/>
                      </w:rPr>
                      <w:t xml:space="preserve"> </w:t>
                    </w:r>
                    <w:r>
                      <w:rPr>
                        <w:rFonts w:ascii="Arial" w:hAnsi="Arial"/>
                        <w:b/>
                        <w:spacing w:val="-2"/>
                        <w:sz w:val="12"/>
                      </w:rPr>
                      <w:t>DISTRITAL DE GOBIERNO</w:t>
                    </w:r>
                    <w:r>
                      <w:rPr>
                        <w:rFonts w:ascii="Arial" w:hAnsi="Arial"/>
                        <w:b/>
                        <w:spacing w:val="40"/>
                        <w:sz w:val="12"/>
                      </w:rPr>
                      <w:t xml:space="preserve"> </w:t>
                    </w:r>
                    <w:r>
                      <w:rPr>
                        <w:rFonts w:ascii="Arial" w:hAnsi="Arial"/>
                        <w:b/>
                        <w:sz w:val="12"/>
                      </w:rPr>
                      <w:t>ALCALDÍA LOCAL DE FONTIBON</w:t>
                    </w:r>
                  </w:p>
                </w:txbxContent>
              </v:textbox>
              <w10:wrap anchorx="page" anchory="page"/>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6E70"/>
    <w:rsid w:val="00104EF9"/>
    <w:rsid w:val="002C7F2F"/>
    <w:rsid w:val="002F02AE"/>
    <w:rsid w:val="006215B1"/>
    <w:rsid w:val="00636E70"/>
    <w:rsid w:val="006720E1"/>
    <w:rsid w:val="00716F6F"/>
    <w:rsid w:val="00800180"/>
    <w:rsid w:val="00A03DCA"/>
    <w:rsid w:val="00A67924"/>
    <w:rsid w:val="00A92EE3"/>
    <w:rsid w:val="00B70E2B"/>
    <w:rsid w:val="00C275CC"/>
    <w:rsid w:val="00D10A17"/>
    <w:rsid w:val="00DC4962"/>
    <w:rsid w:val="00E772BF"/>
    <w:rsid w:val="00F22BB1"/>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8D00AA"/>
  <w15:docId w15:val="{72614F47-3C7F-5649-A748-3C6C5496B2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es-ES"/>
    </w:rPr>
  </w:style>
  <w:style w:type="paragraph" w:styleId="Ttulo1">
    <w:name w:val="heading 1"/>
    <w:basedOn w:val="Normal"/>
    <w:uiPriority w:val="9"/>
    <w:qFormat/>
    <w:pPr>
      <w:jc w:val="both"/>
      <w:outlineLvl w:val="0"/>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Prrafodelista">
    <w:name w:val="List Paragraph"/>
    <w:basedOn w:val="Normal"/>
    <w:uiPriority w:val="1"/>
    <w:qFormat/>
  </w:style>
  <w:style w:type="paragraph" w:customStyle="1" w:styleId="TableParagraph">
    <w:name w:val="Table Paragraph"/>
    <w:basedOn w:val="Normal"/>
    <w:uiPriority w:val="1"/>
    <w:qFormat/>
  </w:style>
  <w:style w:type="paragraph" w:styleId="NormalWeb">
    <w:name w:val="Normal (Web)"/>
    <w:basedOn w:val="Normal"/>
    <w:uiPriority w:val="99"/>
    <w:semiHidden/>
    <w:unhideWhenUsed/>
    <w:rsid w:val="006720E1"/>
    <w:pPr>
      <w:widowControl/>
      <w:autoSpaceDE/>
      <w:autoSpaceDN/>
      <w:spacing w:before="100" w:beforeAutospacing="1" w:after="100" w:afterAutospacing="1"/>
    </w:pPr>
    <w:rPr>
      <w:sz w:val="24"/>
      <w:szCs w:val="24"/>
      <w:lang w:eastAsia="es-ES_tradnl"/>
    </w:rPr>
  </w:style>
  <w:style w:type="character" w:styleId="Textoennegrita">
    <w:name w:val="Strong"/>
    <w:basedOn w:val="Fuentedeprrafopredeter"/>
    <w:uiPriority w:val="22"/>
    <w:qFormat/>
    <w:rsid w:val="006720E1"/>
    <w:rPr>
      <w:b/>
      <w:bCs/>
    </w:rPr>
  </w:style>
  <w:style w:type="character" w:customStyle="1" w:styleId="normaltextrun">
    <w:name w:val="normaltextrun"/>
    <w:basedOn w:val="Fuentedeprrafopredeter"/>
    <w:rsid w:val="00E772BF"/>
  </w:style>
  <w:style w:type="paragraph" w:customStyle="1" w:styleId="isselectedend">
    <w:name w:val="isselectedend"/>
    <w:basedOn w:val="Normal"/>
    <w:rsid w:val="006215B1"/>
    <w:pPr>
      <w:widowControl/>
      <w:autoSpaceDE/>
      <w:autoSpaceDN/>
      <w:spacing w:before="100" w:beforeAutospacing="1" w:after="100" w:afterAutospacing="1"/>
    </w:pPr>
    <w:rPr>
      <w:sz w:val="24"/>
      <w:szCs w:val="24"/>
      <w:lang w:val="es-CO"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9372249">
      <w:bodyDiv w:val="1"/>
      <w:marLeft w:val="0"/>
      <w:marRight w:val="0"/>
      <w:marTop w:val="0"/>
      <w:marBottom w:val="0"/>
      <w:divBdr>
        <w:top w:val="none" w:sz="0" w:space="0" w:color="auto"/>
        <w:left w:val="none" w:sz="0" w:space="0" w:color="auto"/>
        <w:bottom w:val="none" w:sz="0" w:space="0" w:color="auto"/>
        <w:right w:val="none" w:sz="0" w:space="0" w:color="auto"/>
      </w:divBdr>
    </w:div>
    <w:div w:id="10293767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customXml" Target="../customXml/item3.xml"/><Relationship Id="rId3" Type="http://schemas.openxmlformats.org/officeDocument/2006/relationships/webSettings" Target="webSettings.xml"/><Relationship Id="rId7" Type="http://schemas.openxmlformats.org/officeDocument/2006/relationships/footer" Target="footer1.xml"/><Relationship Id="rId12" Type="http://schemas.openxmlformats.org/officeDocument/2006/relationships/header" Target="header2.xml"/><Relationship Id="rId17" Type="http://schemas.openxmlformats.org/officeDocument/2006/relationships/customXml" Target="../customXml/item2.xml"/><Relationship Id="rId2" Type="http://schemas.openxmlformats.org/officeDocument/2006/relationships/settings" Target="settings.xml"/><Relationship Id="rId16" Type="http://schemas.openxmlformats.org/officeDocument/2006/relationships/customXml" Target="../customXml/item1.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footnotes" Target="footnotes.xml"/><Relationship Id="rId9" Type="http://schemas.openxmlformats.org/officeDocument/2006/relationships/image" Target="media/image3.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73C7E2468C50B48980CE7C97C035E3E" ma:contentTypeVersion="21" ma:contentTypeDescription="Crear nuevo documento." ma:contentTypeScope="" ma:versionID="5112023e00fb8893c4fc964b0161e200">
  <xsd:schema xmlns:xsd="http://www.w3.org/2001/XMLSchema" xmlns:xs="http://www.w3.org/2001/XMLSchema" xmlns:p="http://schemas.microsoft.com/office/2006/metadata/properties" xmlns:ns2="cc38ce11-c220-4a34-aa03-d6a5468465ec" xmlns:ns3="3129d058-18cd-4050-a37d-40ede8e2d7d3" targetNamespace="http://schemas.microsoft.com/office/2006/metadata/properties" ma:root="true" ma:fieldsID="a6fa10e03f7a4f0958e56e172dafade4" ns2:_="" ns3:_="">
    <xsd:import namespace="cc38ce11-c220-4a34-aa03-d6a5468465ec"/>
    <xsd:import namespace="3129d058-18cd-4050-a37d-40ede8e2d7d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p0k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EVO"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38ce11-c220-4a34-aa03-d6a5468465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p0kn" ma:index="18" nillable="true" ma:displayName="Texto" ma:internalName="p0k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NUEVO" ma:index="26" nillable="true" ma:displayName="NUEVO" ma:format="Dropdown" ma:internalName="NUEVO">
      <xsd:simpleType>
        <xsd:restriction base="dms:Text">
          <xsd:maxLength value="255"/>
        </xsd:restriction>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129d058-18cd-4050-a37d-40ede8e2d7d3"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element name="TaxCatchAll" ma:index="24" nillable="true" ma:displayName="Taxonomy Catch All Column" ma:hidden="true" ma:list="{19e96408-f574-46ce-ba19-3482cbe533f3}" ma:internalName="TaxCatchAll" ma:showField="CatchAllData" ma:web="3129d058-18cd-4050-a37d-40ede8e2d7d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0kn xmlns="cc38ce11-c220-4a34-aa03-d6a5468465ec" xsi:nil="true"/>
    <TaxCatchAll xmlns="3129d058-18cd-4050-a37d-40ede8e2d7d3" xsi:nil="true"/>
    <NUEVO xmlns="cc38ce11-c220-4a34-aa03-d6a5468465ec" xsi:nil="true"/>
    <lcf76f155ced4ddcb4097134ff3c332f xmlns="cc38ce11-c220-4a34-aa03-d6a5468465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CD7EA479-1896-4FAD-9D95-DA003A226647}"/>
</file>

<file path=customXml/itemProps2.xml><?xml version="1.0" encoding="utf-8"?>
<ds:datastoreItem xmlns:ds="http://schemas.openxmlformats.org/officeDocument/2006/customXml" ds:itemID="{CB54CA9D-B094-40D9-AC76-905533D442C0}"/>
</file>

<file path=customXml/itemProps3.xml><?xml version="1.0" encoding="utf-8"?>
<ds:datastoreItem xmlns:ds="http://schemas.openxmlformats.org/officeDocument/2006/customXml" ds:itemID="{DAA030F4-2601-43E6-8D1C-821FEA98059C}"/>
</file>

<file path=docProps/app.xml><?xml version="1.0" encoding="utf-8"?>
<Properties xmlns="http://schemas.openxmlformats.org/officeDocument/2006/extended-properties" xmlns:vt="http://schemas.openxmlformats.org/officeDocument/2006/docPropsVTypes">
  <Template>Normal</Template>
  <TotalTime>0</TotalTime>
  <Pages>8</Pages>
  <Words>3832</Words>
  <Characters>21076</Characters>
  <Application>Microsoft Office Word</Application>
  <DocSecurity>0</DocSecurity>
  <Lines>175</Lines>
  <Paragraphs>49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24859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Diego</dc:creator>
  <cp:lastModifiedBy>Diego C</cp:lastModifiedBy>
  <cp:revision>2</cp:revision>
  <dcterms:created xsi:type="dcterms:W3CDTF">2025-12-23T00:02:00Z</dcterms:created>
  <dcterms:modified xsi:type="dcterms:W3CDTF">2025-12-23T00:02:00Z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2025-12-22T00:00:00Z</vt:filetime>
  </property>
  <property fmtid="{D5CDD505-2E9C-101B-9397-08002B2CF9AE}" pid="3" name="LastSaved">
    <vt:filetime>2025-12-22T00:00:00Z</vt:filetime>
  </property>
  <property fmtid="{D5CDD505-2E9C-101B-9397-08002B2CF9AE}" pid="4" name="Producer">
    <vt:lpwstr>macOS Versión 15.6.1 (Compilación 24G90) Quartz PDFContext</vt:lpwstr>
  </property>
  <property fmtid="{D5CDD505-2E9C-101B-9397-08002B2CF9AE}" pid="5" name="ContentTypeId">
    <vt:lpwstr>0x010100473C7E2468C50B48980CE7C97C035E3E</vt:lpwstr>
  </property>
</Properties>
</file>